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2B3" w:rsidRPr="00547526" w:rsidRDefault="009402B3" w:rsidP="00547526">
      <w:pPr>
        <w:spacing w:after="0" w:line="240" w:lineRule="auto"/>
        <w:jc w:val="center"/>
        <w:rPr>
          <w:rFonts w:ascii="Times New Roman" w:hAnsi="Times New Roman" w:cs="Times New Roman"/>
          <w:sz w:val="28"/>
          <w:szCs w:val="28"/>
        </w:rPr>
      </w:pPr>
      <w:r w:rsidRPr="00547526">
        <w:rPr>
          <w:rFonts w:ascii="Times New Roman" w:hAnsi="Times New Roman" w:cs="Times New Roman"/>
          <w:i/>
          <w:iCs/>
          <w:sz w:val="28"/>
          <w:szCs w:val="28"/>
        </w:rPr>
        <w:t>Quo tendas anagogia</w:t>
      </w:r>
      <w:r w:rsidRPr="00547526">
        <w:rPr>
          <w:rFonts w:ascii="Times New Roman" w:hAnsi="Times New Roman" w:cs="Times New Roman"/>
          <w:sz w:val="28"/>
          <w:szCs w:val="28"/>
        </w:rPr>
        <w:t>. L’anagogia nel cammino spirituale secondo San Bonaventura</w:t>
      </w:r>
    </w:p>
    <w:p w:rsidR="009402B3" w:rsidRDefault="009402B3" w:rsidP="00547526">
      <w:pPr>
        <w:spacing w:after="0" w:line="240" w:lineRule="auto"/>
        <w:jc w:val="center"/>
        <w:rPr>
          <w:rFonts w:ascii="Times New Roman" w:hAnsi="Times New Roman" w:cs="Times New Roman"/>
          <w:sz w:val="24"/>
          <w:szCs w:val="24"/>
        </w:rPr>
      </w:pPr>
    </w:p>
    <w:p w:rsidR="009402B3" w:rsidRDefault="009402B3" w:rsidP="00547526">
      <w:pPr>
        <w:spacing w:after="0" w:line="240" w:lineRule="auto"/>
        <w:jc w:val="both"/>
        <w:rPr>
          <w:rFonts w:ascii="Times New Roman" w:hAnsi="Times New Roman" w:cs="Times New Roman"/>
          <w:sz w:val="24"/>
          <w:szCs w:val="24"/>
        </w:rPr>
      </w:pP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teologia di san Bonaventura appare come una costruzione complessa e multiforme nella quale non si perde mai di vista la meta: ogni prospettiva e variante metodologica conduce a Cristo, l’unico Signore e maestro. Il cammino dell’umana ricerca di Dio è costantemente illuminato, accompagnato, indirizzato e confortato dalle parole della sacra Scrittura, come si vede chiaramente anche solo da una semplice lettura delle opere del Dottore serafico</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Leggendo le sue opere si è invitati a percorrere un cammino spirituale, un’ascesi cristiana, che assume forme diverse a seconda dell’opera ma è sempre strutturato in gradi. Agli ultimi gradi </w:t>
      </w:r>
      <w:r w:rsidRPr="0098608A">
        <w:rPr>
          <w:rFonts w:ascii="Times New Roman" w:hAnsi="Times New Roman" w:cs="Times New Roman"/>
          <w:sz w:val="24"/>
          <w:szCs w:val="24"/>
        </w:rPr>
        <w:t>dell’</w:t>
      </w:r>
      <w:r w:rsidRPr="0098608A">
        <w:rPr>
          <w:rFonts w:ascii="Times New Roman" w:hAnsi="Times New Roman" w:cs="Times New Roman"/>
          <w:i/>
          <w:iCs/>
          <w:sz w:val="24"/>
          <w:szCs w:val="24"/>
        </w:rPr>
        <w:t>Itinerarium mentis in Deum</w:t>
      </w:r>
      <w:r>
        <w:rPr>
          <w:rFonts w:ascii="Times New Roman" w:hAnsi="Times New Roman" w:cs="Times New Roman"/>
          <w:sz w:val="24"/>
          <w:szCs w:val="24"/>
        </w:rPr>
        <w:t xml:space="preserve"> è perciò possibile, ed utile, avvicinare quello che è l’ultimo grado di un altro percorso bonaventuriano: l’itinerario ermeneutico scritturistico.</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Nel medioevo l’ermeneutica biblica raggiunge un alto grado di sviluppo e perfezione approfondendo e applicando in vario modo l’approccio patristico tramite l’analisi del senso letterale e dei sensi spirituali: allegoria, tropologia e anagogia. Bonaventura descrive il percorso dell’uomo come un itinerario verso Dio, proprio come farà Dante Alighieri pochi anni dopo nella poesia della </w:t>
      </w:r>
      <w:r w:rsidRPr="00A971BE">
        <w:rPr>
          <w:rFonts w:ascii="Times New Roman" w:hAnsi="Times New Roman" w:cs="Times New Roman"/>
          <w:i/>
          <w:iCs/>
          <w:sz w:val="24"/>
          <w:szCs w:val="24"/>
        </w:rPr>
        <w:t>Commedia</w:t>
      </w:r>
      <w:r>
        <w:rPr>
          <w:rFonts w:ascii="Times New Roman" w:hAnsi="Times New Roman" w:cs="Times New Roman"/>
          <w:sz w:val="24"/>
          <w:szCs w:val="24"/>
        </w:rPr>
        <w:t>, perciò il punto finale, la meta del pellegrinaggio, assume il valore più grande, essendo la sintesi e il senso di tutto ciò che precede. Per questo motivo, nella considerazione dei quattro sensi della Scrittura, l’anagogia rappresenta il punto più elevato e merita particolare attenzione.</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Il cammino è mosso dalla forza del desiderio, suscitato dallo Spirito che infonde la grazia, e “riconduce” sempre a Dio: nell’</w:t>
      </w:r>
      <w:r>
        <w:rPr>
          <w:rFonts w:ascii="Times New Roman" w:hAnsi="Times New Roman" w:cs="Times New Roman"/>
          <w:i/>
          <w:iCs/>
          <w:sz w:val="24"/>
          <w:szCs w:val="24"/>
        </w:rPr>
        <w:t>Itinerarium mentis in Deum</w:t>
      </w:r>
      <w:r>
        <w:rPr>
          <w:rFonts w:ascii="Times New Roman" w:hAnsi="Times New Roman" w:cs="Times New Roman"/>
          <w:sz w:val="24"/>
          <w:szCs w:val="24"/>
        </w:rPr>
        <w:t xml:space="preserve"> i gradi ascensivi vengono abbinati alle sei ali del serafino (immagine che è al cuore della lettura bonaventuriana dell’esperienza francescana), nelle </w:t>
      </w:r>
      <w:r>
        <w:rPr>
          <w:rFonts w:ascii="Times New Roman" w:hAnsi="Times New Roman" w:cs="Times New Roman"/>
          <w:i/>
          <w:iCs/>
          <w:sz w:val="24"/>
          <w:szCs w:val="24"/>
        </w:rPr>
        <w:t>Collationes in Hexaëmeron</w:t>
      </w:r>
      <w:r>
        <w:rPr>
          <w:rFonts w:ascii="Times New Roman" w:hAnsi="Times New Roman" w:cs="Times New Roman"/>
          <w:sz w:val="24"/>
          <w:szCs w:val="24"/>
        </w:rPr>
        <w:t xml:space="preserve"> i gradi sono invece relativi ai giorni della creazione.</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creazione e la Scrittura parlano di Cristo e la teologia è chiamata ad aiutare ogni uomo nel suo percorso di conversione e santità</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Parlando di anagogia in Bonaventura vogliamo tener presenti due significati del termine, e precisamente l’aspetto più strettamente esegetico-ermeneutico e l’aspetto più generalmente teologico, secondo il quale: «l’anagogia teologica nasce dall’atto di fede, cioè dall’intelletto umano potenziato ed elevato dallo Spirito Santo che consente di vedere ogni cosa con gli occhi di Cristo»</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w:t>
      </w:r>
    </w:p>
    <w:p w:rsidR="009402B3" w:rsidRDefault="009402B3" w:rsidP="00547526">
      <w:pPr>
        <w:spacing w:after="0" w:line="240" w:lineRule="auto"/>
        <w:jc w:val="both"/>
        <w:rPr>
          <w:rFonts w:ascii="Times New Roman" w:hAnsi="Times New Roman" w:cs="Times New Roman"/>
          <w:sz w:val="24"/>
          <w:szCs w:val="24"/>
        </w:rPr>
      </w:pPr>
    </w:p>
    <w:p w:rsidR="009402B3" w:rsidRDefault="009402B3" w:rsidP="00547526">
      <w:pPr>
        <w:spacing w:after="0" w:line="240" w:lineRule="auto"/>
        <w:jc w:val="both"/>
        <w:rPr>
          <w:rFonts w:ascii="Times New Roman" w:hAnsi="Times New Roman" w:cs="Times New Roman"/>
          <w:sz w:val="24"/>
          <w:szCs w:val="24"/>
        </w:rPr>
      </w:pPr>
      <w:r w:rsidRPr="00A8427C">
        <w:rPr>
          <w:rFonts w:ascii="Times New Roman" w:hAnsi="Times New Roman" w:cs="Times New Roman"/>
          <w:b/>
          <w:bCs/>
          <w:sz w:val="24"/>
          <w:szCs w:val="24"/>
        </w:rPr>
        <w:t>Anagogia e sensi della Scrittura</w:t>
      </w:r>
      <w:r>
        <w:rPr>
          <w:rFonts w:ascii="Times New Roman" w:hAnsi="Times New Roman" w:cs="Times New Roman"/>
          <w:sz w:val="24"/>
          <w:szCs w:val="24"/>
        </w:rPr>
        <w:t>. In realtà, come notava già Henri de Lubac</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non esiste solo un’anagogia come compimento del quadruplice senso della Scrittura, esiste anche un’anagogia relativa alla vita contemplativa, al percorso spirituale del singolo credente. Se la prima forma di anagogia si può definire speculativa (definita dal suo oggetto e rivolta all’</w:t>
      </w:r>
      <w:r>
        <w:rPr>
          <w:rFonts w:ascii="Times New Roman" w:hAnsi="Times New Roman" w:cs="Times New Roman"/>
          <w:i/>
          <w:iCs/>
          <w:sz w:val="24"/>
          <w:szCs w:val="24"/>
        </w:rPr>
        <w:t>eschaton</w:t>
      </w:r>
      <w:r>
        <w:rPr>
          <w:rFonts w:ascii="Times New Roman" w:hAnsi="Times New Roman" w:cs="Times New Roman"/>
          <w:sz w:val="24"/>
          <w:szCs w:val="24"/>
        </w:rPr>
        <w:t xml:space="preserve">), la seconda è tipica della vita mistica e conduce </w:t>
      </w:r>
      <w:r>
        <w:rPr>
          <w:rFonts w:ascii="Times New Roman" w:hAnsi="Times New Roman" w:cs="Times New Roman"/>
          <w:i/>
          <w:iCs/>
          <w:sz w:val="24"/>
          <w:szCs w:val="24"/>
        </w:rPr>
        <w:t>ad mysteria futuri saeculi contuenda</w:t>
      </w:r>
      <w:r>
        <w:rPr>
          <w:rFonts w:ascii="Times New Roman" w:hAnsi="Times New Roman" w:cs="Times New Roman"/>
          <w:sz w:val="24"/>
          <w:szCs w:val="24"/>
        </w:rPr>
        <w:t>, come scrive Origene con una terminologia che Bonaventura accoglie</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Il mistero della salvezza si vive sul piano storico, nel tempo, ma è destinato ad essere ricapitolato alla fine dei tempi. Il compimento del piano divino è in Cristo venuto nella storia e veniente nella fede: l’anagogia riassume in sé anche l’allegoria e la tropologia, poiché: </w:t>
      </w:r>
    </w:p>
    <w:p w:rsidR="009402B3" w:rsidRDefault="009402B3" w:rsidP="00547526">
      <w:pPr>
        <w:spacing w:after="0" w:line="240" w:lineRule="auto"/>
        <w:jc w:val="both"/>
        <w:rPr>
          <w:rFonts w:ascii="Times New Roman" w:hAnsi="Times New Roman" w:cs="Times New Roman"/>
          <w:sz w:val="24"/>
          <w:szCs w:val="24"/>
        </w:rPr>
      </w:pPr>
    </w:p>
    <w:p w:rsidR="009402B3" w:rsidRDefault="009402B3" w:rsidP="00523495">
      <w:pPr>
        <w:spacing w:after="0" w:line="240" w:lineRule="auto"/>
        <w:ind w:left="708"/>
        <w:jc w:val="both"/>
        <w:rPr>
          <w:rFonts w:ascii="Times New Roman" w:hAnsi="Times New Roman" w:cs="Times New Roman"/>
        </w:rPr>
      </w:pPr>
      <w:r w:rsidRPr="00523495">
        <w:rPr>
          <w:rFonts w:ascii="Times New Roman" w:hAnsi="Times New Roman" w:cs="Times New Roman"/>
        </w:rPr>
        <w:t>«l’una</w:t>
      </w:r>
      <w:r>
        <w:rPr>
          <w:rFonts w:ascii="Times New Roman" w:hAnsi="Times New Roman" w:cs="Times New Roman"/>
        </w:rPr>
        <w:t xml:space="preserve"> e l’altra sono contenute nell’anagogia – come il primo e il secondo avvento di Cristo sono conglobati nell’ultimo. […] La realtà escatologica raggiunta mediante l’anagogia è la realtà eterna, nella quale qualunque altra realtà ha la sua consumazione. Essa è nel suo stato definitivo quel “testamentum novum quod est regnum caelorum”. Costituisce “la Pienezza di Cristo”»</w:t>
      </w:r>
      <w:r>
        <w:rPr>
          <w:rStyle w:val="FootnoteReference"/>
          <w:rFonts w:ascii="Times New Roman" w:hAnsi="Times New Roman" w:cs="Times New Roman"/>
        </w:rPr>
        <w:footnoteReference w:id="6"/>
      </w:r>
      <w:r>
        <w:rPr>
          <w:rFonts w:ascii="Times New Roman" w:hAnsi="Times New Roman" w:cs="Times New Roman"/>
        </w:rPr>
        <w:t>.</w:t>
      </w:r>
    </w:p>
    <w:p w:rsidR="009402B3" w:rsidRDefault="009402B3" w:rsidP="00523495">
      <w:pPr>
        <w:spacing w:after="0" w:line="240" w:lineRule="auto"/>
        <w:ind w:left="708"/>
        <w:jc w:val="both"/>
        <w:rPr>
          <w:rFonts w:ascii="Times New Roman" w:hAnsi="Times New Roman" w:cs="Times New Roman"/>
        </w:rPr>
      </w:pPr>
    </w:p>
    <w:p w:rsidR="009402B3" w:rsidRDefault="009402B3" w:rsidP="00A8427C">
      <w:pPr>
        <w:spacing w:after="0" w:line="240" w:lineRule="auto"/>
        <w:ind w:firstLine="14"/>
        <w:jc w:val="both"/>
        <w:rPr>
          <w:rFonts w:ascii="Times New Roman" w:hAnsi="Times New Roman" w:cs="Times New Roman"/>
          <w:sz w:val="24"/>
          <w:szCs w:val="24"/>
        </w:rPr>
      </w:pPr>
      <w:r>
        <w:rPr>
          <w:rFonts w:ascii="Times New Roman" w:hAnsi="Times New Roman" w:cs="Times New Roman"/>
          <w:sz w:val="24"/>
          <w:szCs w:val="24"/>
        </w:rPr>
        <w:t xml:space="preserve">In Bonaventura l’anagogia speculativa conduce sempre e con naturalezza a quella contemplativa, infatti la teologia stessa è esercizio </w:t>
      </w:r>
      <w:r w:rsidRPr="003764A6">
        <w:rPr>
          <w:rFonts w:ascii="Times New Roman" w:hAnsi="Times New Roman" w:cs="Times New Roman"/>
          <w:i/>
          <w:iCs/>
          <w:sz w:val="24"/>
          <w:szCs w:val="24"/>
        </w:rPr>
        <w:t>pratico</w:t>
      </w:r>
      <w:r>
        <w:rPr>
          <w:rFonts w:ascii="Times New Roman" w:hAnsi="Times New Roman" w:cs="Times New Roman"/>
          <w:sz w:val="24"/>
          <w:szCs w:val="24"/>
        </w:rPr>
        <w:t xml:space="preserve"> che non avrebbe senso se non producesse frutti coerenti di carità, rendendo l’uomo buono. Proprio l’importanza eccezionale che riconosce alla Parola di Dio rivelata gli consente di delineare con chiarezza la via della sapienza cristiana, in cui l’intelletto passa sempre dalla santità per raggiungere la sapienza. La Scrittura è offerta come libro guida del pellegrinaggio, ogni speculazione è al servizio della vita:</w:t>
      </w:r>
    </w:p>
    <w:p w:rsidR="009402B3" w:rsidRDefault="009402B3" w:rsidP="00A8427C">
      <w:pPr>
        <w:spacing w:after="0" w:line="240" w:lineRule="auto"/>
        <w:ind w:firstLine="14"/>
        <w:jc w:val="both"/>
        <w:rPr>
          <w:rFonts w:ascii="Times New Roman" w:hAnsi="Times New Roman" w:cs="Times New Roman"/>
          <w:sz w:val="24"/>
          <w:szCs w:val="24"/>
        </w:rPr>
      </w:pPr>
    </w:p>
    <w:p w:rsidR="009402B3" w:rsidRDefault="009402B3" w:rsidP="000050A5">
      <w:pPr>
        <w:spacing w:after="0" w:line="240" w:lineRule="auto"/>
        <w:ind w:left="704"/>
        <w:jc w:val="both"/>
        <w:rPr>
          <w:rFonts w:ascii="Times New Roman" w:hAnsi="Times New Roman" w:cs="Times New Roman"/>
        </w:rPr>
      </w:pPr>
      <w:r>
        <w:rPr>
          <w:rFonts w:ascii="Times New Roman" w:hAnsi="Times New Roman" w:cs="Times New Roman"/>
        </w:rPr>
        <w:t>«L’anagogia concreta – oggi diremmo: esistenziale – è dunque, al vertice d’una piramide, il punto di congiunzione – e bisognerebbe dire anche di fusione – tra l’intelligenza della Scrittura e la contemplazione mistica»</w:t>
      </w:r>
      <w:r>
        <w:rPr>
          <w:rStyle w:val="FootnoteReference"/>
          <w:rFonts w:ascii="Times New Roman" w:hAnsi="Times New Roman" w:cs="Times New Roman"/>
        </w:rPr>
        <w:footnoteReference w:id="7"/>
      </w:r>
      <w:r>
        <w:rPr>
          <w:rFonts w:ascii="Times New Roman" w:hAnsi="Times New Roman" w:cs="Times New Roman"/>
        </w:rPr>
        <w:t>.</w:t>
      </w:r>
    </w:p>
    <w:p w:rsidR="009402B3" w:rsidRPr="000050A5" w:rsidRDefault="009402B3" w:rsidP="000050A5">
      <w:pPr>
        <w:spacing w:after="0" w:line="240" w:lineRule="auto"/>
        <w:ind w:left="704"/>
        <w:jc w:val="both"/>
        <w:rPr>
          <w:rFonts w:ascii="Times New Roman" w:hAnsi="Times New Roman" w:cs="Times New Roman"/>
        </w:rPr>
      </w:pPr>
    </w:p>
    <w:p w:rsidR="009402B3" w:rsidRDefault="009402B3" w:rsidP="00547526">
      <w:pPr>
        <w:spacing w:after="0" w:line="240" w:lineRule="auto"/>
        <w:jc w:val="both"/>
        <w:rPr>
          <w:rFonts w:ascii="Times New Roman" w:hAnsi="Times New Roman" w:cs="Times New Roman"/>
          <w:sz w:val="24"/>
          <w:szCs w:val="24"/>
        </w:rPr>
      </w:pPr>
    </w:p>
    <w:p w:rsidR="009402B3" w:rsidRDefault="009402B3" w:rsidP="00547526">
      <w:pPr>
        <w:spacing w:after="0" w:line="240" w:lineRule="auto"/>
        <w:jc w:val="both"/>
        <w:rPr>
          <w:rFonts w:ascii="Times New Roman" w:hAnsi="Times New Roman" w:cs="Times New Roman"/>
          <w:sz w:val="24"/>
          <w:szCs w:val="24"/>
        </w:rPr>
      </w:pPr>
      <w:r w:rsidRPr="00EB0468">
        <w:rPr>
          <w:rFonts w:ascii="Times New Roman" w:hAnsi="Times New Roman" w:cs="Times New Roman"/>
          <w:b/>
          <w:bCs/>
          <w:sz w:val="24"/>
          <w:szCs w:val="24"/>
        </w:rPr>
        <w:t xml:space="preserve">Una teologia anagogica. </w:t>
      </w:r>
      <w:r>
        <w:rPr>
          <w:rFonts w:ascii="Times New Roman" w:hAnsi="Times New Roman" w:cs="Times New Roman"/>
          <w:sz w:val="24"/>
          <w:szCs w:val="24"/>
        </w:rPr>
        <w:t>Il pensiero teologico medievale non nega l’autonomia delle realtà create, tanto è vero che proprio in questi secoli inizia l’elaborazione del pensiero scientifico. Il mondo ha leggi proprie, da studiare con un metodo adatto e coerente, ma il teologo non dimentica che ogni grado dell’essere, dalla materia inanimata alla vita dell’uomo e degli angeli, è riferito a Cristo, in cui tutto sussiste. L’armonia tra le diverse realtà esistenti è data dalla provenienza di ognuna di esse da Dio, che tutto ha pensato, creato e redento nel suo Figlio. Se, nella modernità, si è offuscato ed è stato in diversi modi negato il riferimento delle realtà mondane a Dio, ci sono molte e complesse ragioni storiche per questo fenomeno. Quando però la stessa teologia moderna e contemporanea sembra quasi dimenticare che nulla sussiste al di fuori del piano salvifico del Padre in Cristo Gesù, allora la confusione dei metodi e dei piani della conoscenza</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rischia di privare la teologia della sua specificità e bellezza.</w:t>
      </w:r>
    </w:p>
    <w:p w:rsidR="009402B3" w:rsidRPr="0014114A"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teologia non è un pensiero ancorato solo al tempo, alla storia, al verificarsi e succedersi di eventi, ma è per sua natura aperta all’ascolto della parola di Dio che è oltre il tempo, sa e vuole leggere le cose </w:t>
      </w:r>
      <w:r>
        <w:rPr>
          <w:rFonts w:ascii="Times New Roman" w:hAnsi="Times New Roman" w:cs="Times New Roman"/>
          <w:i/>
          <w:iCs/>
          <w:sz w:val="24"/>
          <w:szCs w:val="24"/>
        </w:rPr>
        <w:t xml:space="preserve">sub specie aeternitatis. </w:t>
      </w:r>
    </w:p>
    <w:p w:rsidR="009402B3" w:rsidRDefault="009402B3" w:rsidP="00547526">
      <w:pPr>
        <w:spacing w:after="0" w:line="240" w:lineRule="auto"/>
        <w:jc w:val="both"/>
        <w:rPr>
          <w:rFonts w:ascii="Times New Roman" w:hAnsi="Times New Roman" w:cs="Times New Roman"/>
          <w:sz w:val="24"/>
          <w:szCs w:val="24"/>
        </w:rPr>
      </w:pPr>
    </w:p>
    <w:p w:rsidR="009402B3" w:rsidRPr="00A37B92" w:rsidRDefault="009402B3" w:rsidP="00FE3783">
      <w:pPr>
        <w:spacing w:after="0" w:line="240" w:lineRule="auto"/>
        <w:ind w:left="705"/>
        <w:jc w:val="both"/>
        <w:rPr>
          <w:rFonts w:ascii="Times New Roman" w:hAnsi="Times New Roman" w:cs="Times New Roman"/>
        </w:rPr>
      </w:pPr>
      <w:r>
        <w:rPr>
          <w:rFonts w:ascii="Times New Roman" w:hAnsi="Times New Roman" w:cs="Times New Roman"/>
        </w:rPr>
        <w:t>«</w:t>
      </w:r>
      <w:r w:rsidRPr="00A37B92">
        <w:rPr>
          <w:rFonts w:ascii="Times New Roman" w:hAnsi="Times New Roman" w:cs="Times New Roman"/>
          <w:i/>
          <w:iCs/>
        </w:rPr>
        <w:t>Sub specie aeternitatis</w:t>
      </w:r>
      <w:r>
        <w:rPr>
          <w:rFonts w:ascii="Times New Roman" w:hAnsi="Times New Roman" w:cs="Times New Roman"/>
        </w:rPr>
        <w:t>: questa è la prospettiva anagogica, cioè la visione dal punto di vista dell’eterno. Il nostro modo di discorrere di Dio e della sua Rivelazione deve collocarsi dal punto di vista di Dio: pena il negare il valore alla Rivelazione divina. Se continuassimo a concepire e a parlare delle cose di Dio e delle nostre cose dal punto di vista umano, il Cristianesimo si risolverebbe in dottrina umana»</w:t>
      </w:r>
      <w:r>
        <w:rPr>
          <w:rStyle w:val="FootnoteReference"/>
          <w:rFonts w:ascii="Times New Roman" w:hAnsi="Times New Roman" w:cs="Times New Roman"/>
        </w:rPr>
        <w:footnoteReference w:id="9"/>
      </w:r>
      <w:r>
        <w:rPr>
          <w:rFonts w:ascii="Times New Roman" w:hAnsi="Times New Roman" w:cs="Times New Roman"/>
        </w:rPr>
        <w:t>.</w:t>
      </w:r>
    </w:p>
    <w:p w:rsidR="009402B3" w:rsidRDefault="009402B3" w:rsidP="00547526">
      <w:pPr>
        <w:spacing w:after="0" w:line="240" w:lineRule="auto"/>
        <w:jc w:val="both"/>
        <w:rPr>
          <w:rFonts w:ascii="Times New Roman" w:hAnsi="Times New Roman" w:cs="Times New Roman"/>
          <w:sz w:val="24"/>
          <w:szCs w:val="24"/>
        </w:rPr>
      </w:pP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Il pensiero bonaventuriano è una lettura profondamente armoniosa della realtà, riconosce e descrive la pluriforme gerarchia degli esseri e sottolinea la direzione ascensiva della vita. Come già nello Pseudo Dionigi, la gerarchizzazione mira all’unione con Dio</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w:t>
      </w:r>
    </w:p>
    <w:p w:rsidR="009402B3" w:rsidRDefault="009402B3" w:rsidP="00547526">
      <w:pPr>
        <w:spacing w:after="0" w:line="240" w:lineRule="auto"/>
        <w:jc w:val="both"/>
        <w:rPr>
          <w:rFonts w:ascii="Times New Roman" w:hAnsi="Times New Roman" w:cs="Times New Roman"/>
          <w:sz w:val="24"/>
          <w:szCs w:val="24"/>
        </w:rPr>
      </w:pPr>
    </w:p>
    <w:p w:rsidR="009402B3" w:rsidRDefault="009402B3" w:rsidP="00547526">
      <w:pPr>
        <w:spacing w:after="0" w:line="240" w:lineRule="auto"/>
        <w:jc w:val="both"/>
        <w:rPr>
          <w:rFonts w:ascii="Times New Roman" w:hAnsi="Times New Roman" w:cs="Times New Roman"/>
          <w:sz w:val="24"/>
          <w:szCs w:val="24"/>
        </w:rPr>
      </w:pPr>
      <w:r w:rsidRPr="000E5DDD">
        <w:rPr>
          <w:rFonts w:ascii="Times New Roman" w:hAnsi="Times New Roman" w:cs="Times New Roman"/>
          <w:sz w:val="24"/>
          <w:szCs w:val="24"/>
        </w:rPr>
        <w:t>Il</w:t>
      </w:r>
      <w:r>
        <w:rPr>
          <w:rFonts w:ascii="Times New Roman" w:hAnsi="Times New Roman" w:cs="Times New Roman"/>
          <w:b/>
          <w:bCs/>
          <w:sz w:val="24"/>
          <w:szCs w:val="24"/>
        </w:rPr>
        <w:t xml:space="preserve"> </w:t>
      </w:r>
      <w:r w:rsidRPr="000E5DDD">
        <w:rPr>
          <w:rFonts w:ascii="Times New Roman" w:hAnsi="Times New Roman" w:cs="Times New Roman"/>
          <w:b/>
          <w:bCs/>
          <w:i/>
          <w:iCs/>
          <w:sz w:val="24"/>
          <w:szCs w:val="24"/>
        </w:rPr>
        <w:t>Commento a San Luca</w:t>
      </w:r>
      <w:r>
        <w:rPr>
          <w:rFonts w:ascii="Times New Roman" w:hAnsi="Times New Roman" w:cs="Times New Roman"/>
          <w:sz w:val="24"/>
          <w:szCs w:val="24"/>
        </w:rPr>
        <w:t>. Conviene considerare, anche se brevemente, i riferimenti espliciti all’anagogia che Bonaventura ci offre nelle sue opere, in un arco temporale di circa venticinque anni.</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Nel 1248, a Parigi, il neo-baccelliere biblico commenta il Vangelo secondo Luca</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attenendosi alla metodologia medievale dell’università ma dando (soprattutto nella rielaborazione dell’opera, approntata pochi anni dopo) un taglio personale, pensando a un utilizzo del lavoro per fini pastorali e in particolare nella predicazione. Per il giovane maestro francescano il commento alla Scrittura non è un semplice passo preliminare al commento delle Sentenze di Pietro Lombardo, gli è già ben chiara la superiorità della parola di Dio rispetto alle parole di qualunque santo, studioso o filosofo. I riferimenti espliciti all’anagogia si trovano principalmente nelle pagine relative al capitolo tredicesimo del Vangelo di Luca, precisamente nella seconda parte del capitolo in cui l’evangelista racconta il cammino di Gesù verso Gerusalemme.</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 versetti 22: «</w:t>
      </w:r>
      <w:r w:rsidRPr="00E0582D">
        <w:rPr>
          <w:rFonts w:ascii="Times New Roman" w:hAnsi="Times New Roman" w:cs="Times New Roman"/>
          <w:sz w:val="24"/>
          <w:szCs w:val="24"/>
        </w:rPr>
        <w:t>Passava insegnando per città e villaggi, mentre era in cammino verso Gerusalemme</w:t>
      </w:r>
      <w:r>
        <w:rPr>
          <w:rFonts w:ascii="Times New Roman" w:hAnsi="Times New Roman" w:cs="Times New Roman"/>
          <w:sz w:val="24"/>
          <w:szCs w:val="24"/>
        </w:rPr>
        <w:t>», e 33: «</w:t>
      </w:r>
      <w:r w:rsidRPr="00E0582D">
        <w:rPr>
          <w:rFonts w:ascii="Times New Roman" w:hAnsi="Times New Roman" w:cs="Times New Roman"/>
          <w:sz w:val="24"/>
          <w:szCs w:val="24"/>
        </w:rPr>
        <w:t>Però è necessario che oggi, domani e il giorno seguente io vada per la mia strada, perché non è possibile che un profeta muoia fuori di Gerusalemme»</w:t>
      </w:r>
      <w:r>
        <w:rPr>
          <w:rFonts w:ascii="Times New Roman" w:hAnsi="Times New Roman" w:cs="Times New Roman"/>
          <w:sz w:val="24"/>
          <w:szCs w:val="24"/>
        </w:rPr>
        <w:t xml:space="preserve"> sono particolarmente importanti per la comprensione del brano, ne sono come la cornice in cui vediamo tornare i temi del camminare e di Gerusalemme, meta del cammino.</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Guardando Gesù che va incontro alla sua morte e risurrezione è possibile scoprire le tre vie:</w:t>
      </w:r>
    </w:p>
    <w:p w:rsidR="009402B3" w:rsidRDefault="009402B3" w:rsidP="00547526">
      <w:pPr>
        <w:spacing w:after="0" w:line="240" w:lineRule="auto"/>
        <w:jc w:val="both"/>
        <w:rPr>
          <w:rFonts w:ascii="Times New Roman" w:hAnsi="Times New Roman" w:cs="Times New Roman"/>
        </w:rPr>
      </w:pPr>
    </w:p>
    <w:p w:rsidR="009402B3" w:rsidRPr="00425998" w:rsidRDefault="009402B3" w:rsidP="00425998">
      <w:pPr>
        <w:spacing w:after="0" w:line="240" w:lineRule="auto"/>
        <w:ind w:left="854" w:hanging="854"/>
        <w:jc w:val="both"/>
        <w:rPr>
          <w:rFonts w:ascii="Times New Roman" w:hAnsi="Times New Roman" w:cs="Times New Roman"/>
        </w:rPr>
      </w:pPr>
      <w:r>
        <w:rPr>
          <w:rFonts w:ascii="Times New Roman" w:hAnsi="Times New Roman" w:cs="Times New Roman"/>
        </w:rPr>
        <w:tab/>
        <w:t xml:space="preserve">«per le quali si giunge alla gloria del paradiso: la buona operosità, la vera predicazione, la tranquilla contemplazione. L’operosità viene sottolineata dall’espressione </w:t>
      </w:r>
      <w:r>
        <w:rPr>
          <w:rFonts w:ascii="Times New Roman" w:hAnsi="Times New Roman" w:cs="Times New Roman"/>
          <w:i/>
          <w:iCs/>
        </w:rPr>
        <w:t>passava per città e villaggi</w:t>
      </w:r>
      <w:r>
        <w:rPr>
          <w:rFonts w:ascii="Times New Roman" w:hAnsi="Times New Roman" w:cs="Times New Roman"/>
        </w:rPr>
        <w:t xml:space="preserve">; la predicazione, invece, da </w:t>
      </w:r>
      <w:r>
        <w:rPr>
          <w:rFonts w:ascii="Times New Roman" w:hAnsi="Times New Roman" w:cs="Times New Roman"/>
          <w:i/>
          <w:iCs/>
        </w:rPr>
        <w:t>camminava insegnando</w:t>
      </w:r>
      <w:r>
        <w:rPr>
          <w:rFonts w:ascii="Times New Roman" w:hAnsi="Times New Roman" w:cs="Times New Roman"/>
        </w:rPr>
        <w:t xml:space="preserve">; la contemplazione dal fatto che </w:t>
      </w:r>
      <w:r>
        <w:rPr>
          <w:rFonts w:ascii="Times New Roman" w:hAnsi="Times New Roman" w:cs="Times New Roman"/>
          <w:i/>
          <w:iCs/>
        </w:rPr>
        <w:t>era in cammino verso Gerusalemme</w:t>
      </w:r>
      <w:r>
        <w:rPr>
          <w:rFonts w:ascii="Times New Roman" w:hAnsi="Times New Roman" w:cs="Times New Roman"/>
        </w:rPr>
        <w:t>, azione che, in senso mistico [</w:t>
      </w:r>
      <w:r>
        <w:rPr>
          <w:rFonts w:ascii="Times New Roman" w:hAnsi="Times New Roman" w:cs="Times New Roman"/>
          <w:i/>
          <w:iCs/>
        </w:rPr>
        <w:t>per anagogiam</w:t>
      </w:r>
      <w:r>
        <w:rPr>
          <w:rFonts w:ascii="Times New Roman" w:hAnsi="Times New Roman" w:cs="Times New Roman"/>
        </w:rPr>
        <w:t>], coincide con la visione della pace»</w:t>
      </w:r>
      <w:r>
        <w:rPr>
          <w:rStyle w:val="FootnoteReference"/>
          <w:rFonts w:ascii="Times New Roman" w:hAnsi="Times New Roman" w:cs="Times New Roman"/>
        </w:rPr>
        <w:footnoteReference w:id="12"/>
      </w:r>
      <w:r>
        <w:rPr>
          <w:rFonts w:ascii="Times New Roman" w:hAnsi="Times New Roman" w:cs="Times New Roman"/>
        </w:rPr>
        <w:t>.</w:t>
      </w:r>
    </w:p>
    <w:p w:rsidR="009402B3" w:rsidRDefault="009402B3" w:rsidP="00547526">
      <w:pPr>
        <w:spacing w:after="0" w:line="240" w:lineRule="auto"/>
        <w:jc w:val="both"/>
        <w:rPr>
          <w:rFonts w:ascii="Times New Roman" w:hAnsi="Times New Roman" w:cs="Times New Roman"/>
          <w:sz w:val="24"/>
          <w:szCs w:val="24"/>
        </w:rPr>
      </w:pPr>
    </w:p>
    <w:p w:rsidR="009402B3" w:rsidRPr="00DD575E"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Anche i tre giorni – </w:t>
      </w:r>
      <w:r w:rsidRPr="00DD575E">
        <w:rPr>
          <w:rFonts w:ascii="Times New Roman" w:hAnsi="Times New Roman" w:cs="Times New Roman"/>
          <w:i/>
          <w:iCs/>
          <w:sz w:val="24"/>
          <w:szCs w:val="24"/>
        </w:rPr>
        <w:t>oggi, domani e il giorno seguente</w:t>
      </w:r>
      <w:r>
        <w:rPr>
          <w:rFonts w:ascii="Times New Roman" w:hAnsi="Times New Roman" w:cs="Times New Roman"/>
          <w:sz w:val="24"/>
          <w:szCs w:val="24"/>
        </w:rPr>
        <w:t xml:space="preserve"> – di cui parla l’evangelista al versetto 33, si possono interpretare a diversi livelli e Bonaventura, come ama fare, si sofferma nell’enumerazione dei significati possibili. Dopo aver segnalato che sta dando un’interpretazione mistica (</w:t>
      </w:r>
      <w:r>
        <w:rPr>
          <w:rFonts w:ascii="Times New Roman" w:hAnsi="Times New Roman" w:cs="Times New Roman"/>
          <w:i/>
          <w:iCs/>
          <w:sz w:val="24"/>
          <w:szCs w:val="24"/>
        </w:rPr>
        <w:t>mystice</w:t>
      </w:r>
      <w:r>
        <w:rPr>
          <w:rFonts w:ascii="Times New Roman" w:hAnsi="Times New Roman" w:cs="Times New Roman"/>
          <w:sz w:val="24"/>
          <w:szCs w:val="24"/>
        </w:rPr>
        <w:t xml:space="preserve">), afferma che i tre giorni hanno tre significati: allegorico, morale e mistico. Ognuno di questi a sua volta si può declinare in più modi; per esempio, il significato allegorico è riferibile alle tre leggi (legge di natura, Scrittura, grazia), come ai tre giorni della Pasqua (passione, sepoltura, risurrezione) ma anche al </w:t>
      </w:r>
      <w:r>
        <w:rPr>
          <w:rFonts w:ascii="Times New Roman" w:hAnsi="Times New Roman" w:cs="Times New Roman"/>
          <w:i/>
          <w:iCs/>
          <w:sz w:val="24"/>
          <w:szCs w:val="24"/>
        </w:rPr>
        <w:t xml:space="preserve">decorso della sesta età, al riposo delle anime e alla risurrezione dei corpi, </w:t>
      </w:r>
      <w:r>
        <w:rPr>
          <w:rFonts w:ascii="Times New Roman" w:hAnsi="Times New Roman" w:cs="Times New Roman"/>
          <w:sz w:val="24"/>
          <w:szCs w:val="24"/>
        </w:rPr>
        <w:t>e così via. Il significato morale dei tre giorni, invece, può richiamare altre triadi: compunzione, confessione e soddisfazione; pensare bene, parlare bene e operare bene; castità, obbedienza e povertà</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w:t>
      </w:r>
    </w:p>
    <w:p w:rsidR="009402B3" w:rsidRDefault="009402B3" w:rsidP="00547526">
      <w:pPr>
        <w:spacing w:after="0" w:line="240" w:lineRule="auto"/>
        <w:jc w:val="both"/>
        <w:rPr>
          <w:rFonts w:ascii="Times New Roman" w:hAnsi="Times New Roman" w:cs="Times New Roman"/>
          <w:sz w:val="24"/>
          <w:szCs w:val="24"/>
        </w:rPr>
      </w:pPr>
      <w:r w:rsidRPr="00963C9F">
        <w:rPr>
          <w:rFonts w:ascii="Times New Roman" w:hAnsi="Times New Roman" w:cs="Times New Roman"/>
          <w:sz w:val="24"/>
          <w:szCs w:val="24"/>
        </w:rPr>
        <w:t>Il significato anagogico, cioè mistico, è quello che conduce ad avvicinarsi a Gerusalemme non con i passi di un cammino fisico ma con i sentimenti d</w:t>
      </w:r>
      <w:r>
        <w:rPr>
          <w:rFonts w:ascii="Times New Roman" w:hAnsi="Times New Roman" w:cs="Times New Roman"/>
          <w:sz w:val="24"/>
          <w:szCs w:val="24"/>
        </w:rPr>
        <w:t>e</w:t>
      </w:r>
      <w:r w:rsidRPr="00963C9F">
        <w:rPr>
          <w:rFonts w:ascii="Times New Roman" w:hAnsi="Times New Roman" w:cs="Times New Roman"/>
          <w:sz w:val="24"/>
          <w:szCs w:val="24"/>
        </w:rPr>
        <w:t>l cuore e della mente</w:t>
      </w:r>
      <w:r>
        <w:rPr>
          <w:rFonts w:ascii="Times New Roman" w:hAnsi="Times New Roman" w:cs="Times New Roman"/>
          <w:sz w:val="24"/>
          <w:szCs w:val="24"/>
        </w:rPr>
        <w:t>. I gradi di questo significato sono, anche in questo caso, molteplici e si può notare qui quasi un anticipo della struttura di opere posteriori (</w:t>
      </w:r>
      <w:r w:rsidRPr="00963C9F">
        <w:rPr>
          <w:rFonts w:ascii="Times New Roman" w:hAnsi="Times New Roman" w:cs="Times New Roman"/>
          <w:i/>
          <w:iCs/>
          <w:sz w:val="24"/>
          <w:szCs w:val="24"/>
        </w:rPr>
        <w:t>Itinerarium mentis in Deum, De triplici via, Collationes in Hexaëmeron</w:t>
      </w:r>
      <w:r>
        <w:rPr>
          <w:rFonts w:ascii="Times New Roman" w:hAnsi="Times New Roman" w:cs="Times New Roman"/>
          <w:sz w:val="24"/>
          <w:szCs w:val="24"/>
        </w:rPr>
        <w:t>).</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L’anagogia può dunque riferirsi a:</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purificazione, illuminazione, perfezione</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i tre giorni della ricerca di Gesù dodicenne a Gerusalemme</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la contemplazione di Dio nelle vestigia, nell’immagine e in se stesso</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i tre giorni nel deserto in cui l’arca precede il popolo d’Israele (Nm 10,33)</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la contemplazione della triplice gerarchia: sotto il cielo, nel cielo e sopra il cielo</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la cacciata dei demoni, la realizzazione della salvezza e il completamento di ogni bene</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i giorni che gli esploratori trascorsero nascosti presso i monti attorno a Gerico (Gs 2,22)</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Tra queste immagini bibliche Bonaventura sottolinea quella dell’arca, che “è Cristo”, il nostro condottiero che ci guida alla terra promessa, e conclude con l’invito ad:</w:t>
      </w:r>
    </w:p>
    <w:p w:rsidR="009402B3" w:rsidRDefault="009402B3" w:rsidP="00547526">
      <w:pPr>
        <w:spacing w:after="0" w:line="240" w:lineRule="auto"/>
        <w:jc w:val="both"/>
        <w:rPr>
          <w:rFonts w:ascii="Times New Roman" w:hAnsi="Times New Roman" w:cs="Times New Roman"/>
        </w:rPr>
      </w:pPr>
    </w:p>
    <w:p w:rsidR="009402B3" w:rsidRPr="00B92238" w:rsidRDefault="009402B3" w:rsidP="00B92238">
      <w:pPr>
        <w:tabs>
          <w:tab w:val="left" w:pos="851"/>
        </w:tabs>
        <w:spacing w:after="0" w:line="240" w:lineRule="auto"/>
        <w:jc w:val="both"/>
        <w:rPr>
          <w:rFonts w:ascii="Times New Roman" w:hAnsi="Times New Roman" w:cs="Times New Roman"/>
        </w:rPr>
      </w:pPr>
      <w:r>
        <w:rPr>
          <w:rFonts w:ascii="Times New Roman" w:hAnsi="Times New Roman" w:cs="Times New Roman"/>
        </w:rPr>
        <w:tab/>
        <w:t xml:space="preserve">«andare sempre avanti nel bene, il che equivale a dirigersi verso la celeste Gerusalemme, alla quale </w:t>
      </w:r>
      <w:r>
        <w:rPr>
          <w:rFonts w:ascii="Times New Roman" w:hAnsi="Times New Roman" w:cs="Times New Roman"/>
        </w:rPr>
        <w:tab/>
        <w:t>ci avviciniamo non con i passi del nostro corpo, ma con i sentimenti del cuore e della mente»</w:t>
      </w:r>
      <w:r>
        <w:rPr>
          <w:rStyle w:val="FootnoteReference"/>
          <w:rFonts w:ascii="Times New Roman" w:hAnsi="Times New Roman" w:cs="Times New Roman"/>
        </w:rPr>
        <w:footnoteReference w:id="14"/>
      </w:r>
      <w:r>
        <w:rPr>
          <w:rFonts w:ascii="Times New Roman" w:hAnsi="Times New Roman" w:cs="Times New Roman"/>
        </w:rPr>
        <w:t>.</w:t>
      </w:r>
    </w:p>
    <w:p w:rsidR="009402B3" w:rsidRDefault="009402B3" w:rsidP="00DD6927">
      <w:pPr>
        <w:spacing w:after="0" w:line="240" w:lineRule="auto"/>
        <w:jc w:val="center"/>
        <w:rPr>
          <w:rFonts w:ascii="Times New Roman" w:hAnsi="Times New Roman" w:cs="Times New Roman"/>
          <w:sz w:val="24"/>
          <w:szCs w:val="24"/>
        </w:rPr>
      </w:pPr>
      <w:r w:rsidRPr="00342011">
        <w:rPr>
          <w:rFonts w:ascii="Times New Roman" w:hAnsi="Times New Roman" w:cs="Times New Roman"/>
          <w:noProof/>
          <w:sz w:val="24"/>
          <w:szCs w:val="24"/>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style="width:448.5pt;height:653.25pt;visibility:visible" o:bordertopcolor="black" o:borderleftcolor="black" o:borderbottomcolor="black" o:borderrightcolor="black">
            <v:imagedata r:id="rId7" o:title=""/>
            <w10:bordertop type="single" width="2"/>
            <w10:borderleft type="single" width="2"/>
            <w10:borderbottom type="single" width="2"/>
            <w10:borderright type="single" width="2"/>
          </v:shape>
        </w:pict>
      </w:r>
    </w:p>
    <w:p w:rsidR="009402B3" w:rsidRDefault="009402B3" w:rsidP="00547526">
      <w:pPr>
        <w:spacing w:after="0" w:line="240" w:lineRule="auto"/>
        <w:jc w:val="both"/>
        <w:rPr>
          <w:rFonts w:ascii="Times New Roman" w:hAnsi="Times New Roman" w:cs="Times New Roman"/>
          <w:sz w:val="24"/>
          <w:szCs w:val="24"/>
        </w:rPr>
      </w:pPr>
    </w:p>
    <w:p w:rsidR="009402B3" w:rsidRDefault="009402B3" w:rsidP="00547526">
      <w:pPr>
        <w:spacing w:after="0" w:line="240" w:lineRule="auto"/>
        <w:jc w:val="both"/>
        <w:rPr>
          <w:rFonts w:ascii="Times New Roman" w:hAnsi="Times New Roman" w:cs="Times New Roman"/>
          <w:sz w:val="24"/>
          <w:szCs w:val="24"/>
        </w:rPr>
      </w:pP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Nel </w:t>
      </w:r>
      <w:r w:rsidRPr="000E5DDD">
        <w:rPr>
          <w:rFonts w:ascii="Times New Roman" w:hAnsi="Times New Roman" w:cs="Times New Roman"/>
          <w:i/>
          <w:iCs/>
          <w:sz w:val="24"/>
          <w:szCs w:val="24"/>
        </w:rPr>
        <w:t>Commento a Luca</w:t>
      </w:r>
      <w:r>
        <w:rPr>
          <w:rFonts w:ascii="Times New Roman" w:hAnsi="Times New Roman" w:cs="Times New Roman"/>
          <w:sz w:val="24"/>
          <w:szCs w:val="24"/>
        </w:rPr>
        <w:t xml:space="preserve"> Bonaventura torna nuovamente sul quadruplice senso a proposito del versetto 54 del capitolo 23: «Era il giorno della Parasceve e già splendevano le luci del sabato». Sono enumerati sette significati del sabato che «secondo la quadriforme faccia della ruota, cioè secondo l’intelligenza della Scrittura</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 sono:</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il riposo del corpo (senso letterale); il riposo di Cristo e quello delle anime (allegorici); la cessazione della condotta peccaminosa, il riposo della contemplazione e lo stato religioso (tropologici); e il riposo dell’eterno gaudio (anagogico).</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Il succedersi dei giorni, sia nel triduo pasquale come nello schema settimanale, fornisce al Dottore serafico un’occasione per soffermarsi ad evidenziare la tensione presente in ogni realtà creata, materiale o spirituale, verso il proprio compimento. Se il tempo della storia umana, e quello della vita di ciascun uomo, non giunge alla pienezza del grado anagogico non è possibile trovare il riposo della pace. </w:t>
      </w:r>
    </w:p>
    <w:p w:rsidR="009402B3" w:rsidRDefault="009402B3" w:rsidP="00547526">
      <w:pPr>
        <w:spacing w:after="0" w:line="240" w:lineRule="auto"/>
        <w:jc w:val="both"/>
        <w:rPr>
          <w:rFonts w:ascii="Times New Roman" w:hAnsi="Times New Roman" w:cs="Times New Roman"/>
          <w:sz w:val="24"/>
          <w:szCs w:val="24"/>
        </w:rPr>
      </w:pPr>
    </w:p>
    <w:p w:rsidR="009402B3" w:rsidRDefault="009402B3" w:rsidP="00DD6927">
      <w:pPr>
        <w:spacing w:after="0" w:line="240" w:lineRule="auto"/>
        <w:jc w:val="center"/>
        <w:rPr>
          <w:rFonts w:ascii="Times New Roman" w:hAnsi="Times New Roman" w:cs="Times New Roman"/>
          <w:sz w:val="24"/>
          <w:szCs w:val="24"/>
        </w:rPr>
      </w:pPr>
      <w:r w:rsidRPr="00342011">
        <w:rPr>
          <w:rFonts w:ascii="Times New Roman" w:hAnsi="Times New Roman" w:cs="Times New Roman"/>
          <w:noProof/>
          <w:sz w:val="24"/>
          <w:szCs w:val="24"/>
          <w:lang w:eastAsia="it-IT"/>
        </w:rPr>
        <w:pict>
          <v:shape id="Immagine 2" o:spid="_x0000_i1026" type="#_x0000_t75" style="width:422.25pt;height:402pt;visibility:visible" o:bordertopcolor="black" o:borderleftcolor="black" o:borderbottomcolor="black" o:borderrightcolor="black">
            <v:imagedata r:id="rId8" o:title=""/>
            <w10:bordertop type="single" width="2"/>
            <w10:borderleft type="single" width="2"/>
            <w10:borderbottom type="single" width="2"/>
            <w10:borderright type="single" width="2"/>
          </v:shape>
        </w:pict>
      </w:r>
    </w:p>
    <w:p w:rsidR="009402B3" w:rsidRDefault="009402B3" w:rsidP="00547526">
      <w:pPr>
        <w:spacing w:after="0" w:line="240" w:lineRule="auto"/>
        <w:jc w:val="both"/>
        <w:rPr>
          <w:rFonts w:ascii="Times New Roman" w:hAnsi="Times New Roman" w:cs="Times New Roman"/>
          <w:sz w:val="24"/>
          <w:szCs w:val="24"/>
        </w:rPr>
      </w:pP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Anche nel </w:t>
      </w:r>
      <w:r w:rsidRPr="008C28DD">
        <w:rPr>
          <w:rFonts w:ascii="Times New Roman" w:hAnsi="Times New Roman" w:cs="Times New Roman"/>
          <w:b/>
          <w:bCs/>
          <w:i/>
          <w:iCs/>
          <w:sz w:val="24"/>
          <w:szCs w:val="24"/>
        </w:rPr>
        <w:t>Sermone 129</w:t>
      </w:r>
      <w:r>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troviamo un nuovo riferimento alla quadruplice interpretazione della Scrittura. Nella sua brevità il testo è interessante perché, prendendo spunto dal versetto di Giovanni 3,29: </w:t>
      </w:r>
      <w:r>
        <w:rPr>
          <w:rFonts w:ascii="Times New Roman" w:hAnsi="Times New Roman" w:cs="Times New Roman"/>
          <w:i/>
          <w:iCs/>
          <w:sz w:val="24"/>
          <w:szCs w:val="24"/>
        </w:rPr>
        <w:t>lo sposo è colui al quale appartiene la sposa; ma l’amico dello sposo, che è presente e ascolta, esulta di gioia alla voce dello sposo. Ora questa mia gioia è piena</w:t>
      </w:r>
      <w:r>
        <w:rPr>
          <w:rFonts w:ascii="Times New Roman" w:hAnsi="Times New Roman" w:cs="Times New Roman"/>
          <w:sz w:val="24"/>
          <w:szCs w:val="24"/>
        </w:rPr>
        <w:t>, afferma che lo sposo, Cristo, ha una “quadruplice” sposa e cioè: la natura umana, la santa Chiesa, l’anima contemplativa e la Gerusalemme celeste. L’interpretazione delle Scritture poggia [</w:t>
      </w:r>
      <w:r w:rsidRPr="00FD1032">
        <w:rPr>
          <w:rFonts w:ascii="Times New Roman" w:hAnsi="Times New Roman" w:cs="Times New Roman"/>
          <w:i/>
          <w:iCs/>
          <w:sz w:val="24"/>
          <w:szCs w:val="24"/>
        </w:rPr>
        <w:t>innititur</w:t>
      </w:r>
      <w:r>
        <w:rPr>
          <w:rFonts w:ascii="Times New Roman" w:hAnsi="Times New Roman" w:cs="Times New Roman"/>
          <w:sz w:val="24"/>
          <w:szCs w:val="24"/>
        </w:rPr>
        <w:t xml:space="preserve">] su queste spose che sono – confermando l’ordine già rilevato nel </w:t>
      </w:r>
      <w:r w:rsidRPr="00FD1032">
        <w:rPr>
          <w:rFonts w:ascii="Times New Roman" w:hAnsi="Times New Roman" w:cs="Times New Roman"/>
          <w:i/>
          <w:iCs/>
          <w:sz w:val="24"/>
          <w:szCs w:val="24"/>
        </w:rPr>
        <w:t>Commento a San Luca</w:t>
      </w:r>
      <w:r>
        <w:rPr>
          <w:rFonts w:ascii="Times New Roman" w:hAnsi="Times New Roman" w:cs="Times New Roman"/>
          <w:sz w:val="24"/>
          <w:szCs w:val="24"/>
        </w:rPr>
        <w:t xml:space="preserve"> – l’interpretazione letterale, allegorica, morale e anagogica. </w:t>
      </w:r>
    </w:p>
    <w:p w:rsidR="009402B3" w:rsidRDefault="009402B3" w:rsidP="00547526">
      <w:pPr>
        <w:spacing w:after="0" w:line="240" w:lineRule="auto"/>
        <w:jc w:val="both"/>
        <w:rPr>
          <w:rFonts w:ascii="Times New Roman" w:hAnsi="Times New Roman" w:cs="Times New Roman"/>
          <w:sz w:val="24"/>
          <w:szCs w:val="24"/>
        </w:rPr>
      </w:pP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Negli anni tra il 1250 e il 1252 Bonaventura commenta i quattro volumi delle </w:t>
      </w:r>
      <w:r w:rsidRPr="00440AA5">
        <w:rPr>
          <w:rFonts w:ascii="Times New Roman" w:hAnsi="Times New Roman" w:cs="Times New Roman"/>
          <w:b/>
          <w:bCs/>
          <w:i/>
          <w:iCs/>
          <w:sz w:val="24"/>
          <w:szCs w:val="24"/>
        </w:rPr>
        <w:t>Sentenze</w:t>
      </w:r>
      <w:r>
        <w:rPr>
          <w:rFonts w:ascii="Times New Roman" w:hAnsi="Times New Roman" w:cs="Times New Roman"/>
          <w:sz w:val="24"/>
          <w:szCs w:val="24"/>
        </w:rPr>
        <w:t xml:space="preserve"> di Pietro Lombardo, testo ufficiale per gli studi universitari del tempo. Per quanto riguarda il nostro tema non si trovano particolari novità, anche l’ordine in cui sono citati i sensi rimane quello canonico:</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in II </w:t>
      </w:r>
      <w:r w:rsidRPr="00FD1032">
        <w:rPr>
          <w:rFonts w:ascii="Times New Roman" w:hAnsi="Times New Roman" w:cs="Times New Roman"/>
          <w:i/>
          <w:iCs/>
          <w:sz w:val="24"/>
          <w:szCs w:val="24"/>
        </w:rPr>
        <w:t>Sententiarum</w:t>
      </w:r>
      <w:r>
        <w:rPr>
          <w:rFonts w:ascii="Times New Roman" w:hAnsi="Times New Roman" w:cs="Times New Roman"/>
          <w:sz w:val="24"/>
          <w:szCs w:val="24"/>
        </w:rPr>
        <w:t xml:space="preserve">, nella </w:t>
      </w:r>
      <w:r w:rsidRPr="00FD1032">
        <w:rPr>
          <w:rFonts w:ascii="Times New Roman" w:hAnsi="Times New Roman" w:cs="Times New Roman"/>
          <w:i/>
          <w:iCs/>
          <w:sz w:val="24"/>
          <w:szCs w:val="24"/>
        </w:rPr>
        <w:t>distintio</w:t>
      </w:r>
      <w:r>
        <w:rPr>
          <w:rFonts w:ascii="Times New Roman" w:hAnsi="Times New Roman" w:cs="Times New Roman"/>
          <w:sz w:val="24"/>
          <w:szCs w:val="24"/>
        </w:rPr>
        <w:t xml:space="preserve"> XII, sono nominati tutti e quattro</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in II </w:t>
      </w:r>
      <w:r w:rsidRPr="00FD1032">
        <w:rPr>
          <w:rFonts w:ascii="Times New Roman" w:hAnsi="Times New Roman" w:cs="Times New Roman"/>
          <w:i/>
          <w:iCs/>
          <w:sz w:val="24"/>
          <w:szCs w:val="24"/>
        </w:rPr>
        <w:t>Sententiarum</w:t>
      </w:r>
      <w:r>
        <w:rPr>
          <w:rFonts w:ascii="Times New Roman" w:hAnsi="Times New Roman" w:cs="Times New Roman"/>
          <w:sz w:val="24"/>
          <w:szCs w:val="24"/>
        </w:rPr>
        <w:t xml:space="preserve">, nella </w:t>
      </w:r>
      <w:r w:rsidRPr="00FD1032">
        <w:rPr>
          <w:rFonts w:ascii="Times New Roman" w:hAnsi="Times New Roman" w:cs="Times New Roman"/>
          <w:i/>
          <w:iCs/>
          <w:sz w:val="24"/>
          <w:szCs w:val="24"/>
        </w:rPr>
        <w:t>distintio</w:t>
      </w:r>
      <w:r>
        <w:rPr>
          <w:rFonts w:ascii="Times New Roman" w:hAnsi="Times New Roman" w:cs="Times New Roman"/>
          <w:sz w:val="24"/>
          <w:szCs w:val="24"/>
        </w:rPr>
        <w:t xml:space="preserve"> XVIII, troviamo solo allegoria e anagogia</w:t>
      </w:r>
    </w:p>
    <w:p w:rsidR="009402B3" w:rsidRPr="00FE3FBD"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in IV </w:t>
      </w:r>
      <w:r w:rsidRPr="00440AA5">
        <w:rPr>
          <w:rFonts w:ascii="Times New Roman" w:hAnsi="Times New Roman" w:cs="Times New Roman"/>
          <w:i/>
          <w:iCs/>
          <w:sz w:val="24"/>
          <w:szCs w:val="24"/>
        </w:rPr>
        <w:t>Sententiarum</w:t>
      </w:r>
      <w:r>
        <w:rPr>
          <w:rFonts w:ascii="Times New Roman" w:hAnsi="Times New Roman" w:cs="Times New Roman"/>
          <w:sz w:val="24"/>
          <w:szCs w:val="24"/>
        </w:rPr>
        <w:t xml:space="preserve">, nella </w:t>
      </w:r>
      <w:r w:rsidRPr="00FE3FBD">
        <w:rPr>
          <w:rFonts w:ascii="Times New Roman" w:hAnsi="Times New Roman" w:cs="Times New Roman"/>
          <w:i/>
          <w:iCs/>
          <w:sz w:val="24"/>
          <w:szCs w:val="24"/>
        </w:rPr>
        <w:t>distintio</w:t>
      </w:r>
      <w:r w:rsidRPr="00FE3FBD">
        <w:rPr>
          <w:rFonts w:ascii="Times New Roman" w:hAnsi="Times New Roman" w:cs="Times New Roman"/>
          <w:sz w:val="24"/>
          <w:szCs w:val="24"/>
        </w:rPr>
        <w:t xml:space="preserve"> XL, nuovamente tutti e quattro con la sottolineatura dell’anagogia</w:t>
      </w:r>
      <w:r>
        <w:rPr>
          <w:rStyle w:val="FootnoteReference"/>
          <w:rFonts w:ascii="Times New Roman" w:hAnsi="Times New Roman" w:cs="Times New Roman"/>
          <w:sz w:val="24"/>
          <w:szCs w:val="24"/>
        </w:rPr>
        <w:footnoteReference w:id="17"/>
      </w:r>
      <w:r w:rsidRPr="00FE3FBD">
        <w:rPr>
          <w:rFonts w:ascii="Times New Roman" w:hAnsi="Times New Roman" w:cs="Times New Roman"/>
          <w:sz w:val="24"/>
          <w:szCs w:val="24"/>
        </w:rPr>
        <w:t xml:space="preserve">. </w:t>
      </w:r>
    </w:p>
    <w:p w:rsidR="009402B3" w:rsidRDefault="009402B3" w:rsidP="00547526">
      <w:pPr>
        <w:spacing w:after="0" w:line="240" w:lineRule="auto"/>
        <w:jc w:val="both"/>
        <w:rPr>
          <w:rFonts w:ascii="Times New Roman" w:hAnsi="Times New Roman" w:cs="Times New Roman"/>
          <w:sz w:val="24"/>
          <w:szCs w:val="24"/>
        </w:rPr>
      </w:pP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Il </w:t>
      </w:r>
      <w:r w:rsidRPr="00BA6C77">
        <w:rPr>
          <w:rFonts w:ascii="Times New Roman" w:hAnsi="Times New Roman" w:cs="Times New Roman"/>
          <w:b/>
          <w:bCs/>
          <w:i/>
          <w:iCs/>
          <w:sz w:val="24"/>
          <w:szCs w:val="24"/>
        </w:rPr>
        <w:t>Breviloquium</w:t>
      </w:r>
      <w:r>
        <w:rPr>
          <w:rFonts w:ascii="Times New Roman" w:hAnsi="Times New Roman" w:cs="Times New Roman"/>
          <w:sz w:val="24"/>
          <w:szCs w:val="24"/>
        </w:rPr>
        <w:t xml:space="preserve">. Quasi come rielaborazione personale del complesso lavoro sulle </w:t>
      </w:r>
      <w:r w:rsidRPr="00440AA5">
        <w:rPr>
          <w:rFonts w:ascii="Times New Roman" w:hAnsi="Times New Roman" w:cs="Times New Roman"/>
          <w:i/>
          <w:iCs/>
          <w:sz w:val="24"/>
          <w:szCs w:val="24"/>
        </w:rPr>
        <w:t>Sentenze</w:t>
      </w:r>
      <w:r>
        <w:rPr>
          <w:rFonts w:ascii="Times New Roman" w:hAnsi="Times New Roman" w:cs="Times New Roman"/>
          <w:sz w:val="24"/>
          <w:szCs w:val="24"/>
        </w:rPr>
        <w:t xml:space="preserve">, negli anni 1254-1257 circa, Bonaventura compone il suo </w:t>
      </w:r>
      <w:r w:rsidRPr="00BA6C77">
        <w:rPr>
          <w:rFonts w:ascii="Times New Roman" w:hAnsi="Times New Roman" w:cs="Times New Roman"/>
          <w:i/>
          <w:iCs/>
          <w:sz w:val="24"/>
          <w:szCs w:val="24"/>
        </w:rPr>
        <w:t>Breviloquium</w:t>
      </w:r>
      <w:r>
        <w:rPr>
          <w:rStyle w:val="FootnoteReference"/>
          <w:rFonts w:ascii="Times New Roman" w:hAnsi="Times New Roman" w:cs="Times New Roman"/>
          <w:b/>
          <w:bCs/>
          <w:i/>
          <w:iCs/>
          <w:sz w:val="24"/>
          <w:szCs w:val="24"/>
        </w:rPr>
        <w:footnoteReference w:id="18"/>
      </w:r>
      <w:r>
        <w:rPr>
          <w:rFonts w:ascii="Times New Roman" w:hAnsi="Times New Roman" w:cs="Times New Roman"/>
          <w:sz w:val="24"/>
          <w:szCs w:val="24"/>
        </w:rPr>
        <w:t xml:space="preserve">, opera sintetica e chiaramente strutturata per essere una guida efficace alla lettura e allo studio della sacra Scrittura. Di fronte agli studenti, che vedevano la complessità della sacra Scrittura come una “selva” (cf. prologo, n. 6), Bonaventura desidera offrire un manuale che aiuti a riconoscere con sicurezza la struttura del giardino, bellissimo e ordinato, che è formato da molteplici piante, fiori vari e sentieri. Su queste descrizioni ritornerà nell’ultima sua opera, le </w:t>
      </w:r>
      <w:r w:rsidRPr="00F22B36">
        <w:rPr>
          <w:rFonts w:ascii="Times New Roman" w:hAnsi="Times New Roman" w:cs="Times New Roman"/>
          <w:i/>
          <w:iCs/>
          <w:sz w:val="24"/>
          <w:szCs w:val="24"/>
        </w:rPr>
        <w:t>Collationes in Hexaëmeron</w:t>
      </w:r>
      <w:r>
        <w:rPr>
          <w:rFonts w:ascii="Times New Roman" w:hAnsi="Times New Roman" w:cs="Times New Roman"/>
          <w:sz w:val="24"/>
          <w:szCs w:val="24"/>
        </w:rPr>
        <w:t>, esplicitando l’immagine del giardino.</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Il prologo del </w:t>
      </w:r>
      <w:r w:rsidRPr="00F22B36">
        <w:rPr>
          <w:rFonts w:ascii="Times New Roman" w:hAnsi="Times New Roman" w:cs="Times New Roman"/>
          <w:i/>
          <w:iCs/>
          <w:sz w:val="24"/>
          <w:szCs w:val="24"/>
        </w:rPr>
        <w:t>Breviloquium</w:t>
      </w:r>
      <w:r>
        <w:rPr>
          <w:rFonts w:ascii="Times New Roman" w:hAnsi="Times New Roman" w:cs="Times New Roman"/>
          <w:sz w:val="24"/>
          <w:szCs w:val="24"/>
        </w:rPr>
        <w:t xml:space="preserve">, uno dei testi di ermeneutica più belli e ricchi in assoluto, presenta le quattro dimensioni della Scrittura (ampiezza, lunghezza, altezza e profondità) che disegnano la croce di Cristo e la fanno crescere nei cuori, secondo l’espressione di Paolo in </w:t>
      </w:r>
      <w:r w:rsidRPr="00F22B36">
        <w:rPr>
          <w:rFonts w:ascii="Times New Roman" w:hAnsi="Times New Roman" w:cs="Times New Roman"/>
          <w:i/>
          <w:iCs/>
          <w:sz w:val="24"/>
          <w:szCs w:val="24"/>
        </w:rPr>
        <w:t>Efesini</w:t>
      </w:r>
      <w:r>
        <w:rPr>
          <w:rFonts w:ascii="Times New Roman" w:hAnsi="Times New Roman" w:cs="Times New Roman"/>
          <w:sz w:val="24"/>
          <w:szCs w:val="24"/>
        </w:rPr>
        <w:t xml:space="preserve"> 3,14-19.</w:t>
      </w:r>
    </w:p>
    <w:p w:rsidR="009402B3" w:rsidRPr="00F22B36" w:rsidRDefault="009402B3" w:rsidP="00547526">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La dimensione della profondità della Scrittura </w:t>
      </w:r>
      <w:r>
        <w:rPr>
          <w:rFonts w:ascii="Times New Roman" w:hAnsi="Times New Roman" w:cs="Times New Roman"/>
          <w:i/>
          <w:iCs/>
          <w:sz w:val="24"/>
          <w:szCs w:val="24"/>
        </w:rPr>
        <w:t>consistit in multiplicitate mysticarum intelligentiarum</w:t>
      </w:r>
      <w:r w:rsidRPr="00F22B36">
        <w:rPr>
          <w:rFonts w:ascii="Times New Roman" w:hAnsi="Times New Roman" w:cs="Times New Roman"/>
          <w:sz w:val="24"/>
          <w:szCs w:val="24"/>
        </w:rPr>
        <w:t>:</w:t>
      </w:r>
    </w:p>
    <w:p w:rsidR="009402B3" w:rsidRDefault="009402B3" w:rsidP="00547526">
      <w:pPr>
        <w:spacing w:after="0" w:line="240" w:lineRule="auto"/>
        <w:jc w:val="both"/>
        <w:rPr>
          <w:rFonts w:ascii="Times New Roman" w:hAnsi="Times New Roman" w:cs="Times New Roman"/>
          <w:sz w:val="24"/>
          <w:szCs w:val="24"/>
        </w:rPr>
      </w:pPr>
    </w:p>
    <w:p w:rsidR="009402B3" w:rsidRPr="00F22B36" w:rsidRDefault="009402B3" w:rsidP="0017659C">
      <w:pPr>
        <w:spacing w:after="0" w:line="240" w:lineRule="auto"/>
        <w:ind w:left="854"/>
        <w:jc w:val="both"/>
        <w:rPr>
          <w:rFonts w:ascii="Times New Roman" w:hAnsi="Times New Roman" w:cs="Times New Roman"/>
        </w:rPr>
      </w:pPr>
      <w:r>
        <w:rPr>
          <w:rFonts w:ascii="Times New Roman" w:hAnsi="Times New Roman" w:cs="Times New Roman"/>
        </w:rPr>
        <w:t>«Da ultimo, la stessa Scrittura possiede la profondità, che consiste nella molteplicità delle comprensioni dei significati mistici. Infatti, oltre il senso letterale, in diversi punti essa deve essere spiegata in un triplice modo, cioè allegoricamente, moralmente e anagogicamente. L’allegoria, pertanto, si ha quando attraverso un evento se ne indica un altro, secondo il quale si deve credere. La tropologia, o senso morale, si ha quando attraverso ciò che fu fatto è dato comprendere altro, che è ciò che si deve fare. L’anagogia, che è come un condurre in alto, si ha quando è dato comprendere ciò che si deve desiderare, cioè l’eterna felicità dei beati»</w:t>
      </w:r>
      <w:r>
        <w:rPr>
          <w:rStyle w:val="FootnoteReference"/>
          <w:rFonts w:ascii="Times New Roman" w:hAnsi="Times New Roman" w:cs="Times New Roman"/>
        </w:rPr>
        <w:footnoteReference w:id="19"/>
      </w:r>
    </w:p>
    <w:p w:rsidR="009402B3" w:rsidRDefault="009402B3" w:rsidP="00547526">
      <w:pPr>
        <w:spacing w:after="0" w:line="240" w:lineRule="auto"/>
        <w:jc w:val="both"/>
        <w:rPr>
          <w:rFonts w:ascii="Times New Roman" w:hAnsi="Times New Roman" w:cs="Times New Roman"/>
          <w:sz w:val="24"/>
          <w:szCs w:val="24"/>
        </w:rPr>
      </w:pP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Scrittura, che tratta di Dio uno e trino, ne riflette la triformità di comprensione nell’uniformità della lettera. Di fronte a tanta ricchezza di significati, al lettore è richiesta l’umiltà insieme alla consapevolezza che quanto si comprende è sempre solo un aspetto della verità. E non sono solo le parole scritte ad essere multiformi, ma anche gli stessi fatti raccontati, che hanno più significati. La parola di Dio vuole indirizzare l’uomo al suo vero fine, guidando la facoltà conoscitiva, la capacità operativa e quella affettiva:</w:t>
      </w:r>
    </w:p>
    <w:p w:rsidR="009402B3" w:rsidRDefault="009402B3" w:rsidP="00547526">
      <w:pPr>
        <w:spacing w:after="0" w:line="240" w:lineRule="auto"/>
        <w:jc w:val="both"/>
        <w:rPr>
          <w:rFonts w:ascii="Times New Roman" w:hAnsi="Times New Roman" w:cs="Times New Roman"/>
          <w:sz w:val="24"/>
          <w:szCs w:val="24"/>
        </w:rPr>
      </w:pPr>
    </w:p>
    <w:p w:rsidR="009402B3" w:rsidRPr="0017659C" w:rsidRDefault="009402B3" w:rsidP="00E253BC">
      <w:pPr>
        <w:tabs>
          <w:tab w:val="left" w:pos="851"/>
        </w:tabs>
        <w:spacing w:after="0" w:line="240" w:lineRule="auto"/>
        <w:ind w:left="851"/>
        <w:jc w:val="both"/>
        <w:rPr>
          <w:rFonts w:ascii="Times New Roman" w:hAnsi="Times New Roman" w:cs="Times New Roman"/>
        </w:rPr>
      </w:pPr>
      <w:r>
        <w:rPr>
          <w:rFonts w:ascii="Times New Roman" w:hAnsi="Times New Roman" w:cs="Times New Roman"/>
        </w:rPr>
        <w:t>«E poiché l’uomo non si dirige alle cose eterne, se la sua facoltà conoscitiva non conosce il vero che deve essere creduto, e se la sua capacità operativa non compie il bene che deve essere compiuto, e se la sua capacità affettiva non anela alla visione, all’amore e alla fruizione di Dio: ne consegue che la Sacra Scrittura, data attraverso lo Spirito santo, fa suo il libro della creatura, riferendolo al fine secondo il triplice modo di intelligenza, affinché così attraverso la tropologia abbiamo conoscenza delle cose che bisogna fare virilmente; attraverso l’allegoria, delle cose che si devono credere veracemente; attraverso l’anagogia delle cose che si devono desiderare con amore; dimodoché, purificati attraverso l’agire virtuoso, illuminati attraverso la fede radiosa e perfezionati attraverso l’ardentissima carità, giungiamo infine al premio della felicità eterna»</w:t>
      </w:r>
      <w:r>
        <w:rPr>
          <w:rStyle w:val="FootnoteReference"/>
          <w:rFonts w:ascii="Times New Roman" w:hAnsi="Times New Roman" w:cs="Times New Roman"/>
        </w:rPr>
        <w:footnoteReference w:id="20"/>
      </w:r>
    </w:p>
    <w:p w:rsidR="009402B3" w:rsidRDefault="009402B3" w:rsidP="00547526">
      <w:pPr>
        <w:spacing w:after="0" w:line="240" w:lineRule="auto"/>
        <w:jc w:val="both"/>
        <w:rPr>
          <w:rFonts w:ascii="Times New Roman" w:hAnsi="Times New Roman" w:cs="Times New Roman"/>
          <w:sz w:val="24"/>
          <w:szCs w:val="24"/>
        </w:rPr>
      </w:pPr>
    </w:p>
    <w:p w:rsidR="009402B3" w:rsidRPr="00593C58" w:rsidRDefault="009402B3" w:rsidP="00547526">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Quindi, poiché la Scrittura non è un libro qualsiasi, soggetto ai ragionamenti umani e limitato ad alcuni argomenti, per leggerla è necessario avere una luce soprannaturale ed entrare con la chiave che è Cristo stesso. Alcune parole della Scrittura sono esposte con un significato che appare chiaro ma altre hanno un significato mistico e </w:t>
      </w:r>
      <w:r>
        <w:rPr>
          <w:rFonts w:ascii="Times New Roman" w:hAnsi="Times New Roman" w:cs="Times New Roman"/>
          <w:i/>
          <w:iCs/>
          <w:sz w:val="24"/>
          <w:szCs w:val="24"/>
        </w:rPr>
        <w:t>per mystica describit totius universi continentiam quasi in quadam summa</w:t>
      </w:r>
      <w:r>
        <w:rPr>
          <w:rStyle w:val="FootnoteReference"/>
          <w:rFonts w:ascii="Times New Roman" w:hAnsi="Times New Roman" w:cs="Times New Roman"/>
          <w:i/>
          <w:iCs/>
          <w:sz w:val="24"/>
          <w:szCs w:val="24"/>
        </w:rPr>
        <w:footnoteReference w:id="21"/>
      </w:r>
      <w:r>
        <w:rPr>
          <w:rFonts w:ascii="Times New Roman" w:hAnsi="Times New Roman" w:cs="Times New Roman"/>
          <w:i/>
          <w:iCs/>
          <w:sz w:val="24"/>
          <w:szCs w:val="24"/>
        </w:rPr>
        <w:t>.</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 Bonaventura il punto finale è il “frutto” della Scrittura, al quale sono ordinati il seme, la pianta, il fiore… Per non rimanere senza frutto è necessario raggiungere il grado ultimo in cui si trova la pienezza della felicità eterna. Neanche la fede è sufficiente da sola, se all’uomo è richiesto di credere alla parola di Dio ciò è in vista del raggiungimento della vita eterna nella quale si raggiungerà la perfetta visione congiunta alla perfezione dell’amore e al compimento del desiderio.</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Ecco quindi anche il vero motivo e il giusto metodo con il quale la Scrittura deve essere insegnata e trasmessa ai giovani. Le quattro dimensioni sono tutte necessarie: ampiezza, lunghezza e altezza non sono sufficienti senza la profondità che si manifesta </w:t>
      </w:r>
      <w:r>
        <w:rPr>
          <w:rFonts w:ascii="Times New Roman" w:hAnsi="Times New Roman" w:cs="Times New Roman"/>
          <w:i/>
          <w:iCs/>
          <w:sz w:val="24"/>
          <w:szCs w:val="24"/>
        </w:rPr>
        <w:t>in multitudine mystericorum sensuum et intelligentiarum</w:t>
      </w:r>
      <w:r>
        <w:rPr>
          <w:rStyle w:val="FootnoteReference"/>
          <w:rFonts w:ascii="Times New Roman" w:hAnsi="Times New Roman" w:cs="Times New Roman"/>
          <w:i/>
          <w:iCs/>
          <w:sz w:val="24"/>
          <w:szCs w:val="24"/>
        </w:rPr>
        <w:footnoteReference w:id="22"/>
      </w:r>
      <w:r>
        <w:rPr>
          <w:rFonts w:ascii="Times New Roman" w:hAnsi="Times New Roman" w:cs="Times New Roman"/>
          <w:i/>
          <w:iCs/>
          <w:sz w:val="24"/>
          <w:szCs w:val="24"/>
        </w:rPr>
        <w:t>.</w:t>
      </w:r>
      <w:r>
        <w:rPr>
          <w:rFonts w:ascii="Times New Roman" w:hAnsi="Times New Roman" w:cs="Times New Roman"/>
          <w:sz w:val="24"/>
          <w:szCs w:val="24"/>
        </w:rPr>
        <w:t xml:space="preserve"> Ma, all’interno della dimensione della profondità, si trova l’ulteriore distinzione dei sensi ermeneutici che, al n. 4 del prologo, sono elencati due volte: la prima volta nell’ordine classico e più comune – allegoria, tropologia, anagogia – la seconda volta, nella conclusione del paragrafo 4, con una variazione nell’ordine per cui troviamo la tropologia prima dell’allegoria.</w:t>
      </w:r>
    </w:p>
    <w:p w:rsidR="009402B3" w:rsidRDefault="009402B3" w:rsidP="00547526">
      <w:pPr>
        <w:spacing w:after="0" w:line="240" w:lineRule="auto"/>
        <w:jc w:val="both"/>
        <w:rPr>
          <w:rFonts w:ascii="Times New Roman" w:hAnsi="Times New Roman" w:cs="Times New Roman"/>
          <w:sz w:val="24"/>
          <w:szCs w:val="24"/>
        </w:rPr>
      </w:pPr>
    </w:p>
    <w:p w:rsidR="009402B3" w:rsidRPr="00F60700" w:rsidRDefault="009402B3" w:rsidP="00547526">
      <w:pPr>
        <w:spacing w:after="0" w:line="240" w:lineRule="auto"/>
        <w:jc w:val="both"/>
        <w:rPr>
          <w:rFonts w:ascii="Times New Roman" w:hAnsi="Times New Roman" w:cs="Times New Roman"/>
          <w:sz w:val="24"/>
          <w:szCs w:val="24"/>
        </w:rPr>
      </w:pPr>
      <w:r w:rsidRPr="00F60700">
        <w:rPr>
          <w:rFonts w:ascii="Times New Roman" w:hAnsi="Times New Roman" w:cs="Times New Roman"/>
          <w:sz w:val="24"/>
          <w:szCs w:val="24"/>
        </w:rPr>
        <w:t>Ecco come avviene la variazione: Bonaventura afferma che, nell’orientarsi alle cose eterne, tre facoltà sono coinvolte</w:t>
      </w:r>
    </w:p>
    <w:p w:rsidR="009402B3" w:rsidRPr="00F60700" w:rsidRDefault="009402B3" w:rsidP="00AF380D">
      <w:pPr>
        <w:pStyle w:val="ListParagraph"/>
        <w:numPr>
          <w:ilvl w:val="0"/>
          <w:numId w:val="1"/>
        </w:numPr>
        <w:spacing w:after="0" w:line="240" w:lineRule="auto"/>
        <w:jc w:val="both"/>
        <w:rPr>
          <w:rFonts w:ascii="Times New Roman" w:hAnsi="Times New Roman" w:cs="Times New Roman"/>
          <w:sz w:val="24"/>
          <w:szCs w:val="24"/>
        </w:rPr>
      </w:pPr>
      <w:r w:rsidRPr="00F60700">
        <w:rPr>
          <w:rFonts w:ascii="Times New Roman" w:hAnsi="Times New Roman" w:cs="Times New Roman"/>
          <w:sz w:val="24"/>
          <w:szCs w:val="24"/>
        </w:rPr>
        <w:t>La facoltà conoscitiva: conosce il vero che è da credere</w:t>
      </w:r>
    </w:p>
    <w:p w:rsidR="009402B3" w:rsidRPr="00F60700" w:rsidRDefault="009402B3" w:rsidP="00AF380D">
      <w:pPr>
        <w:pStyle w:val="ListParagraph"/>
        <w:numPr>
          <w:ilvl w:val="0"/>
          <w:numId w:val="1"/>
        </w:numPr>
        <w:spacing w:after="0" w:line="240" w:lineRule="auto"/>
        <w:jc w:val="both"/>
        <w:rPr>
          <w:rFonts w:ascii="Times New Roman" w:hAnsi="Times New Roman" w:cs="Times New Roman"/>
          <w:sz w:val="24"/>
          <w:szCs w:val="24"/>
        </w:rPr>
      </w:pPr>
      <w:r w:rsidRPr="00F60700">
        <w:rPr>
          <w:rFonts w:ascii="Times New Roman" w:hAnsi="Times New Roman" w:cs="Times New Roman"/>
          <w:sz w:val="24"/>
          <w:szCs w:val="24"/>
        </w:rPr>
        <w:t>La facoltà operativa: compie il bene da fare</w:t>
      </w:r>
    </w:p>
    <w:p w:rsidR="009402B3" w:rsidRPr="00F60700" w:rsidRDefault="009402B3" w:rsidP="00AF380D">
      <w:pPr>
        <w:pStyle w:val="ListParagraph"/>
        <w:numPr>
          <w:ilvl w:val="0"/>
          <w:numId w:val="1"/>
        </w:numPr>
        <w:spacing w:after="0" w:line="240" w:lineRule="auto"/>
        <w:jc w:val="both"/>
        <w:rPr>
          <w:rFonts w:ascii="Times New Roman" w:hAnsi="Times New Roman" w:cs="Times New Roman"/>
          <w:sz w:val="24"/>
          <w:szCs w:val="24"/>
        </w:rPr>
      </w:pPr>
      <w:r w:rsidRPr="00F60700">
        <w:rPr>
          <w:rFonts w:ascii="Times New Roman" w:hAnsi="Times New Roman" w:cs="Times New Roman"/>
          <w:sz w:val="24"/>
          <w:szCs w:val="24"/>
        </w:rPr>
        <w:t>La facoltà affettiva: anela alla visione</w:t>
      </w:r>
    </w:p>
    <w:p w:rsidR="009402B3" w:rsidRPr="00F60700" w:rsidRDefault="009402B3" w:rsidP="00AF380D">
      <w:pPr>
        <w:spacing w:after="0" w:line="240" w:lineRule="auto"/>
        <w:jc w:val="both"/>
        <w:rPr>
          <w:rFonts w:ascii="Times New Roman" w:hAnsi="Times New Roman" w:cs="Times New Roman"/>
          <w:sz w:val="24"/>
          <w:szCs w:val="24"/>
        </w:rPr>
      </w:pPr>
      <w:r w:rsidRPr="00F60700">
        <w:rPr>
          <w:rFonts w:ascii="Times New Roman" w:hAnsi="Times New Roman" w:cs="Times New Roman"/>
          <w:sz w:val="24"/>
          <w:szCs w:val="24"/>
        </w:rPr>
        <w:t>Subito dopo, troviamo la variante nell’ordine, infatti al primo posto c’è</w:t>
      </w:r>
    </w:p>
    <w:p w:rsidR="009402B3" w:rsidRPr="00F60700" w:rsidRDefault="009402B3" w:rsidP="00AF380D">
      <w:pPr>
        <w:pStyle w:val="ListParagraph"/>
        <w:numPr>
          <w:ilvl w:val="0"/>
          <w:numId w:val="2"/>
        </w:numPr>
        <w:spacing w:after="0" w:line="240" w:lineRule="auto"/>
        <w:jc w:val="both"/>
        <w:rPr>
          <w:rFonts w:ascii="Times New Roman" w:hAnsi="Times New Roman" w:cs="Times New Roman"/>
          <w:sz w:val="24"/>
          <w:szCs w:val="24"/>
        </w:rPr>
      </w:pPr>
      <w:r w:rsidRPr="00F60700">
        <w:rPr>
          <w:rFonts w:ascii="Times New Roman" w:hAnsi="Times New Roman" w:cs="Times New Roman"/>
          <w:sz w:val="24"/>
          <w:szCs w:val="24"/>
        </w:rPr>
        <w:t>La tropologia: che riguarda ciò che è da fare, viene poi</w:t>
      </w:r>
    </w:p>
    <w:p w:rsidR="009402B3" w:rsidRPr="00F60700" w:rsidRDefault="009402B3" w:rsidP="00AF380D">
      <w:pPr>
        <w:pStyle w:val="ListParagraph"/>
        <w:numPr>
          <w:ilvl w:val="0"/>
          <w:numId w:val="2"/>
        </w:numPr>
        <w:spacing w:after="0" w:line="240" w:lineRule="auto"/>
        <w:jc w:val="both"/>
        <w:rPr>
          <w:rFonts w:ascii="Times New Roman" w:hAnsi="Times New Roman" w:cs="Times New Roman"/>
          <w:sz w:val="24"/>
          <w:szCs w:val="24"/>
        </w:rPr>
      </w:pPr>
      <w:r w:rsidRPr="00F60700">
        <w:rPr>
          <w:rFonts w:ascii="Times New Roman" w:hAnsi="Times New Roman" w:cs="Times New Roman"/>
          <w:sz w:val="24"/>
          <w:szCs w:val="24"/>
        </w:rPr>
        <w:t>L’allegoria: che riguarda ciò che è da credere</w:t>
      </w:r>
    </w:p>
    <w:p w:rsidR="009402B3" w:rsidRPr="00F60700" w:rsidRDefault="009402B3" w:rsidP="00AF380D">
      <w:pPr>
        <w:spacing w:after="0" w:line="240" w:lineRule="auto"/>
        <w:jc w:val="both"/>
        <w:rPr>
          <w:rFonts w:ascii="Times New Roman" w:hAnsi="Times New Roman" w:cs="Times New Roman"/>
          <w:sz w:val="24"/>
          <w:szCs w:val="24"/>
        </w:rPr>
      </w:pPr>
      <w:r w:rsidRPr="00F60700">
        <w:rPr>
          <w:rFonts w:ascii="Times New Roman" w:hAnsi="Times New Roman" w:cs="Times New Roman"/>
          <w:sz w:val="24"/>
          <w:szCs w:val="24"/>
        </w:rPr>
        <w:t xml:space="preserve">mentre l’anagogia, come detto, mantiene il proprio posto. Ora, se guardiamo in quali altre opere Bonaventura elenca la tropologia prima dell’allegoria, ci accorgiamo che questo avviene nel </w:t>
      </w:r>
      <w:r w:rsidRPr="00F60700">
        <w:rPr>
          <w:rFonts w:ascii="Times New Roman" w:hAnsi="Times New Roman" w:cs="Times New Roman"/>
          <w:i/>
          <w:iCs/>
          <w:sz w:val="24"/>
          <w:szCs w:val="24"/>
        </w:rPr>
        <w:t>De triplici via</w:t>
      </w:r>
      <w:r w:rsidRPr="00F60700">
        <w:rPr>
          <w:rFonts w:ascii="Times New Roman" w:hAnsi="Times New Roman" w:cs="Times New Roman"/>
          <w:sz w:val="24"/>
          <w:szCs w:val="24"/>
        </w:rPr>
        <w:t>, dove – nel prologo – si fa corrispondere l’aspetto morale (tropologico) alla fase di purificazione e l’allegoria all’illuminazione. Possiamo perciò ritenere che Bonaventura operi questa modifica dell’ordine più consueto a ragion veduta, semplicemente riferendosi ad un altro degli schemi che predilige. A questo proposito – invece – Henri de Lubac affermava che «questo ondeggiare non offre niente di molto significativo. Non si spiega con la cronologia delle opere. Sembra che nessun particolare intendimento abbia fatto preferire un ordine all’altro»</w:t>
      </w:r>
      <w:r w:rsidRPr="00F60700">
        <w:rPr>
          <w:rStyle w:val="FootnoteReference"/>
          <w:rFonts w:ascii="Times New Roman" w:hAnsi="Times New Roman" w:cs="Times New Roman"/>
          <w:sz w:val="24"/>
          <w:szCs w:val="24"/>
        </w:rPr>
        <w:footnoteReference w:id="23"/>
      </w:r>
      <w:r w:rsidRPr="00F60700">
        <w:rPr>
          <w:rFonts w:ascii="Times New Roman" w:hAnsi="Times New Roman" w:cs="Times New Roman"/>
          <w:sz w:val="24"/>
          <w:szCs w:val="24"/>
        </w:rPr>
        <w:t>.</w:t>
      </w:r>
    </w:p>
    <w:p w:rsidR="009402B3" w:rsidRDefault="009402B3" w:rsidP="00547526">
      <w:pPr>
        <w:spacing w:after="0" w:line="240" w:lineRule="auto"/>
        <w:jc w:val="both"/>
        <w:rPr>
          <w:rFonts w:ascii="Times New Roman" w:hAnsi="Times New Roman" w:cs="Times New Roman"/>
          <w:sz w:val="24"/>
          <w:szCs w:val="24"/>
        </w:rPr>
      </w:pPr>
    </w:p>
    <w:p w:rsidR="009402B3" w:rsidRDefault="009402B3" w:rsidP="00547526">
      <w:pPr>
        <w:spacing w:after="0" w:line="240" w:lineRule="auto"/>
        <w:jc w:val="both"/>
        <w:rPr>
          <w:rFonts w:ascii="Times New Roman" w:hAnsi="Times New Roman" w:cs="Times New Roman"/>
          <w:sz w:val="24"/>
          <w:szCs w:val="24"/>
        </w:rPr>
      </w:pPr>
    </w:p>
    <w:p w:rsidR="009402B3" w:rsidRDefault="009402B3" w:rsidP="00547526">
      <w:pPr>
        <w:spacing w:after="0" w:line="240" w:lineRule="auto"/>
        <w:jc w:val="both"/>
        <w:rPr>
          <w:rFonts w:ascii="Times New Roman" w:hAnsi="Times New Roman" w:cs="Times New Roman"/>
          <w:sz w:val="24"/>
          <w:szCs w:val="24"/>
        </w:rPr>
      </w:pPr>
    </w:p>
    <w:p w:rsidR="009402B3" w:rsidRDefault="009402B3" w:rsidP="00547526">
      <w:pPr>
        <w:spacing w:after="0" w:line="240" w:lineRule="auto"/>
        <w:jc w:val="both"/>
        <w:rPr>
          <w:rFonts w:ascii="Times New Roman" w:hAnsi="Times New Roman" w:cs="Times New Roman"/>
          <w:sz w:val="24"/>
          <w:szCs w:val="24"/>
        </w:rPr>
      </w:pPr>
    </w:p>
    <w:p w:rsidR="009402B3" w:rsidRDefault="009402B3" w:rsidP="00547526">
      <w:pPr>
        <w:spacing w:after="0" w:line="240" w:lineRule="auto"/>
        <w:jc w:val="both"/>
        <w:rPr>
          <w:rFonts w:ascii="Times New Roman" w:hAnsi="Times New Roman" w:cs="Times New Roman"/>
          <w:sz w:val="24"/>
          <w:szCs w:val="24"/>
        </w:rPr>
      </w:pPr>
    </w:p>
    <w:p w:rsidR="009402B3" w:rsidRDefault="009402B3" w:rsidP="00DD6927">
      <w:pPr>
        <w:spacing w:after="0" w:line="240" w:lineRule="auto"/>
        <w:jc w:val="center"/>
        <w:rPr>
          <w:rFonts w:ascii="Times New Roman" w:hAnsi="Times New Roman" w:cs="Times New Roman"/>
          <w:sz w:val="24"/>
          <w:szCs w:val="24"/>
        </w:rPr>
      </w:pPr>
      <w:r w:rsidRPr="00342011">
        <w:rPr>
          <w:rFonts w:ascii="Times New Roman" w:hAnsi="Times New Roman" w:cs="Times New Roman"/>
          <w:noProof/>
          <w:sz w:val="24"/>
          <w:szCs w:val="24"/>
          <w:lang w:eastAsia="it-IT"/>
        </w:rPr>
        <w:pict>
          <v:shape id="Immagine 3" o:spid="_x0000_i1027" type="#_x0000_t75" style="width:447.75pt;height:473.25pt;visibility:visible" o:bordertopcolor="black" o:borderleftcolor="black" o:borderbottomcolor="black" o:borderrightcolor="black">
            <v:imagedata r:id="rId9" o:title=""/>
            <w10:bordertop type="single" width="2"/>
            <w10:borderleft type="single" width="2"/>
            <w10:borderbottom type="single" width="2"/>
            <w10:borderright type="single" width="2"/>
          </v:shape>
        </w:pict>
      </w:r>
    </w:p>
    <w:p w:rsidR="009402B3" w:rsidRDefault="009402B3" w:rsidP="00547526">
      <w:pPr>
        <w:spacing w:after="0" w:line="240" w:lineRule="auto"/>
        <w:jc w:val="both"/>
        <w:rPr>
          <w:rFonts w:ascii="Times New Roman" w:hAnsi="Times New Roman" w:cs="Times New Roman"/>
          <w:sz w:val="24"/>
          <w:szCs w:val="24"/>
        </w:rPr>
      </w:pPr>
    </w:p>
    <w:p w:rsidR="009402B3" w:rsidRDefault="009402B3" w:rsidP="00547526">
      <w:pPr>
        <w:spacing w:after="0" w:line="240" w:lineRule="auto"/>
        <w:jc w:val="both"/>
        <w:rPr>
          <w:rFonts w:ascii="Times New Roman" w:hAnsi="Times New Roman" w:cs="Times New Roman"/>
          <w:sz w:val="24"/>
          <w:szCs w:val="24"/>
        </w:rPr>
      </w:pPr>
    </w:p>
    <w:p w:rsidR="009402B3" w:rsidRDefault="009402B3" w:rsidP="00DD6927">
      <w:pPr>
        <w:spacing w:after="0" w:line="240" w:lineRule="auto"/>
        <w:jc w:val="center"/>
        <w:rPr>
          <w:rFonts w:ascii="Times New Roman" w:hAnsi="Times New Roman" w:cs="Times New Roman"/>
          <w:sz w:val="24"/>
          <w:szCs w:val="24"/>
        </w:rPr>
      </w:pPr>
      <w:r w:rsidRPr="00342011">
        <w:rPr>
          <w:rFonts w:ascii="Times New Roman" w:hAnsi="Times New Roman" w:cs="Times New Roman"/>
          <w:noProof/>
          <w:sz w:val="24"/>
          <w:szCs w:val="24"/>
          <w:lang w:eastAsia="it-IT"/>
        </w:rPr>
        <w:pict>
          <v:shape id="Immagine 4" o:spid="_x0000_i1028" type="#_x0000_t75" style="width:481.5pt;height:560.25pt;visibility:visible" o:bordertopcolor="black" o:borderleftcolor="black" o:borderbottomcolor="black" o:borderrightcolor="black">
            <v:imagedata r:id="rId10" o:title=""/>
            <w10:bordertop type="single" width="2"/>
            <w10:borderleft type="single" width="2"/>
            <w10:borderbottom type="single" width="2"/>
            <w10:borderright type="single" width="2"/>
          </v:shape>
        </w:pict>
      </w:r>
    </w:p>
    <w:p w:rsidR="009402B3" w:rsidRDefault="009402B3" w:rsidP="00547526">
      <w:pPr>
        <w:spacing w:after="0" w:line="240" w:lineRule="auto"/>
        <w:jc w:val="both"/>
        <w:rPr>
          <w:rFonts w:ascii="Times New Roman" w:hAnsi="Times New Roman" w:cs="Times New Roman"/>
          <w:sz w:val="24"/>
          <w:szCs w:val="24"/>
        </w:rPr>
      </w:pPr>
    </w:p>
    <w:p w:rsidR="009402B3" w:rsidRPr="00AF380D" w:rsidRDefault="009402B3" w:rsidP="00547526">
      <w:pPr>
        <w:spacing w:after="0" w:line="240" w:lineRule="auto"/>
        <w:jc w:val="both"/>
        <w:rPr>
          <w:rFonts w:ascii="Times New Roman" w:hAnsi="Times New Roman" w:cs="Times New Roman"/>
          <w:sz w:val="24"/>
          <w:szCs w:val="24"/>
        </w:rPr>
      </w:pPr>
    </w:p>
    <w:p w:rsidR="009402B3" w:rsidRDefault="009402B3" w:rsidP="00547526">
      <w:pPr>
        <w:spacing w:after="0" w:line="240" w:lineRule="auto"/>
        <w:jc w:val="both"/>
        <w:rPr>
          <w:rFonts w:ascii="Times New Roman" w:hAnsi="Times New Roman" w:cs="Times New Roman"/>
          <w:sz w:val="24"/>
          <w:szCs w:val="24"/>
        </w:rPr>
      </w:pPr>
      <w:r w:rsidRPr="005E5EDC">
        <w:rPr>
          <w:rFonts w:ascii="Times New Roman" w:hAnsi="Times New Roman" w:cs="Times New Roman"/>
          <w:sz w:val="24"/>
          <w:szCs w:val="24"/>
        </w:rPr>
        <w:t xml:space="preserve">Il </w:t>
      </w:r>
      <w:r w:rsidRPr="005E5EDC">
        <w:rPr>
          <w:rFonts w:ascii="Times New Roman" w:hAnsi="Times New Roman" w:cs="Times New Roman"/>
          <w:b/>
          <w:bCs/>
          <w:i/>
          <w:iCs/>
          <w:sz w:val="24"/>
          <w:szCs w:val="24"/>
        </w:rPr>
        <w:t>De reductione artium ad theologiam</w:t>
      </w:r>
      <w:r w:rsidRPr="005E5EDC">
        <w:rPr>
          <w:rFonts w:ascii="Times New Roman" w:hAnsi="Times New Roman" w:cs="Times New Roman"/>
          <w:sz w:val="24"/>
          <w:szCs w:val="24"/>
        </w:rPr>
        <w:t xml:space="preserve">. </w:t>
      </w:r>
      <w:r>
        <w:rPr>
          <w:rFonts w:ascii="Times New Roman" w:hAnsi="Times New Roman" w:cs="Times New Roman"/>
          <w:sz w:val="24"/>
          <w:szCs w:val="24"/>
        </w:rPr>
        <w:t xml:space="preserve">Dopo aver dedicato la sua ricerca alla sacra Scrittura con i </w:t>
      </w:r>
      <w:r w:rsidRPr="007C5193">
        <w:rPr>
          <w:rFonts w:ascii="Times New Roman" w:hAnsi="Times New Roman" w:cs="Times New Roman"/>
          <w:i/>
          <w:iCs/>
          <w:sz w:val="24"/>
          <w:szCs w:val="24"/>
        </w:rPr>
        <w:t>Commenti alle Sentenze</w:t>
      </w:r>
      <w:r>
        <w:rPr>
          <w:rFonts w:ascii="Times New Roman" w:hAnsi="Times New Roman" w:cs="Times New Roman"/>
          <w:i/>
          <w:iCs/>
          <w:sz w:val="24"/>
          <w:szCs w:val="24"/>
        </w:rPr>
        <w:t>,</w:t>
      </w:r>
      <w:r>
        <w:rPr>
          <w:rFonts w:ascii="Times New Roman" w:hAnsi="Times New Roman" w:cs="Times New Roman"/>
          <w:sz w:val="24"/>
          <w:szCs w:val="24"/>
        </w:rPr>
        <w:t xml:space="preserve"> offrendone quindi un manuale insieme ricco e sintetico nel </w:t>
      </w:r>
      <w:r w:rsidRPr="007C5193">
        <w:rPr>
          <w:rFonts w:ascii="Times New Roman" w:hAnsi="Times New Roman" w:cs="Times New Roman"/>
          <w:i/>
          <w:iCs/>
          <w:sz w:val="24"/>
          <w:szCs w:val="24"/>
        </w:rPr>
        <w:t>Breviloquium</w:t>
      </w:r>
      <w:r>
        <w:rPr>
          <w:rFonts w:ascii="Times New Roman" w:hAnsi="Times New Roman" w:cs="Times New Roman"/>
          <w:sz w:val="24"/>
          <w:szCs w:val="24"/>
        </w:rPr>
        <w:t xml:space="preserve">, Bonaventura scrive l’opuscolo </w:t>
      </w:r>
      <w:r w:rsidRPr="007C5193">
        <w:rPr>
          <w:rFonts w:ascii="Times New Roman" w:hAnsi="Times New Roman" w:cs="Times New Roman"/>
          <w:i/>
          <w:iCs/>
          <w:sz w:val="24"/>
          <w:szCs w:val="24"/>
        </w:rPr>
        <w:t>De reductione artium ad theologiam</w:t>
      </w:r>
      <w:r>
        <w:rPr>
          <w:rStyle w:val="FootnoteReference"/>
          <w:rFonts w:ascii="Times New Roman" w:hAnsi="Times New Roman" w:cs="Times New Roman"/>
          <w:i/>
          <w:iCs/>
          <w:sz w:val="24"/>
          <w:szCs w:val="24"/>
        </w:rPr>
        <w:footnoteReference w:id="24"/>
      </w:r>
      <w:r>
        <w:rPr>
          <w:rFonts w:ascii="Times New Roman" w:hAnsi="Times New Roman" w:cs="Times New Roman"/>
          <w:i/>
          <w:iCs/>
          <w:sz w:val="24"/>
          <w:szCs w:val="24"/>
        </w:rPr>
        <w:t xml:space="preserve">, </w:t>
      </w:r>
      <w:r>
        <w:rPr>
          <w:rFonts w:ascii="Times New Roman" w:hAnsi="Times New Roman" w:cs="Times New Roman"/>
          <w:sz w:val="24"/>
          <w:szCs w:val="24"/>
        </w:rPr>
        <w:t>nel quale la “teologia” a cui ogni disciplina va ricondotta non è una scienza umana tra le altre ma la stessa sacra Scrittura.</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Infatti Bonaventura, nel breve testo composto negli anni d’insegnamento a Parigi, parla di </w:t>
      </w:r>
      <w:r>
        <w:rPr>
          <w:rFonts w:ascii="Times New Roman" w:hAnsi="Times New Roman" w:cs="Times New Roman"/>
          <w:i/>
          <w:iCs/>
          <w:sz w:val="24"/>
          <w:szCs w:val="24"/>
        </w:rPr>
        <w:t>reductio artium ad sacram Scripturam</w:t>
      </w:r>
      <w:r>
        <w:rPr>
          <w:rFonts w:ascii="Times New Roman" w:hAnsi="Times New Roman" w:cs="Times New Roman"/>
          <w:sz w:val="24"/>
          <w:szCs w:val="24"/>
        </w:rPr>
        <w:t xml:space="preserve"> (il titolo “</w:t>
      </w:r>
      <w:r w:rsidRPr="00B33156">
        <w:rPr>
          <w:rFonts w:ascii="Times New Roman" w:hAnsi="Times New Roman" w:cs="Times New Roman"/>
          <w:i/>
          <w:iCs/>
          <w:sz w:val="24"/>
          <w:szCs w:val="24"/>
        </w:rPr>
        <w:t>de reductione artium ad theologiam</w:t>
      </w:r>
      <w:r>
        <w:rPr>
          <w:rFonts w:ascii="Times New Roman" w:hAnsi="Times New Roman" w:cs="Times New Roman"/>
          <w:sz w:val="24"/>
          <w:szCs w:val="24"/>
        </w:rPr>
        <w:t>” è posteriore). Come osserva Elisa Cuttini:</w:t>
      </w:r>
    </w:p>
    <w:p w:rsidR="009402B3" w:rsidRDefault="009402B3" w:rsidP="00547526">
      <w:pPr>
        <w:spacing w:after="0" w:line="240" w:lineRule="auto"/>
        <w:jc w:val="both"/>
        <w:rPr>
          <w:rFonts w:ascii="Times New Roman" w:hAnsi="Times New Roman" w:cs="Times New Roman"/>
          <w:sz w:val="24"/>
          <w:szCs w:val="24"/>
        </w:rPr>
      </w:pPr>
    </w:p>
    <w:p w:rsidR="009402B3" w:rsidRPr="00B45B0A" w:rsidRDefault="009402B3" w:rsidP="00B45B0A">
      <w:pPr>
        <w:tabs>
          <w:tab w:val="left" w:pos="851"/>
        </w:tabs>
        <w:spacing w:after="0" w:line="240" w:lineRule="auto"/>
        <w:ind w:left="851"/>
        <w:jc w:val="both"/>
        <w:rPr>
          <w:rFonts w:ascii="Times New Roman" w:hAnsi="Times New Roman" w:cs="Times New Roman"/>
        </w:rPr>
      </w:pPr>
      <w:r w:rsidRPr="00B45B0A">
        <w:rPr>
          <w:rFonts w:ascii="Times New Roman" w:hAnsi="Times New Roman" w:cs="Times New Roman"/>
        </w:rPr>
        <w:t>«Tutto</w:t>
      </w:r>
      <w:r>
        <w:rPr>
          <w:rFonts w:ascii="Times New Roman" w:hAnsi="Times New Roman" w:cs="Times New Roman"/>
        </w:rPr>
        <w:t xml:space="preserve"> ciò invita a chiedersi se le due espressioni coincidano e, in particolare, se Sacra Scrittura e teologia indichino la stessa cosa, per riflettere sulla legittimità o meno di affermare che Bonaventura opera la “riconduzione” delle scienze alla </w:t>
      </w:r>
      <w:r w:rsidRPr="00B45B0A">
        <w:rPr>
          <w:rFonts w:ascii="Times New Roman" w:hAnsi="Times New Roman" w:cs="Times New Roman"/>
        </w:rPr>
        <w:t>teologia»</w:t>
      </w:r>
      <w:r>
        <w:rPr>
          <w:rStyle w:val="FootnoteReference"/>
          <w:rFonts w:ascii="Times New Roman" w:hAnsi="Times New Roman" w:cs="Times New Roman"/>
        </w:rPr>
        <w:footnoteReference w:id="25"/>
      </w:r>
      <w:r>
        <w:rPr>
          <w:rFonts w:ascii="Times New Roman" w:hAnsi="Times New Roman" w:cs="Times New Roman"/>
        </w:rPr>
        <w:t>.</w:t>
      </w:r>
    </w:p>
    <w:p w:rsidR="009402B3" w:rsidRDefault="009402B3" w:rsidP="00547526">
      <w:pPr>
        <w:spacing w:after="0" w:line="240" w:lineRule="auto"/>
        <w:jc w:val="both"/>
        <w:rPr>
          <w:rFonts w:ascii="Times New Roman" w:hAnsi="Times New Roman" w:cs="Times New Roman"/>
          <w:sz w:val="24"/>
          <w:szCs w:val="24"/>
        </w:rPr>
      </w:pP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Dio è la fonte di ogni illuminazione, da lui provengono e a lui tornano le differenti luci: l’arte meccanica (di cui parlava già Ugo di san Vittore) è luce esterna; la conoscenza sensibile appare come luce inferiore; la filosofia è luce interiore; mentre la grazia e la Scrittura costituiscono la luce superiore. La luce filosofica, a sua volta, si può suddividere in tre rami: filosofia razionale, naturale e morale. In questo modo il numero delle illuminazioni giunge a sei, dopo di che arriverà la pienezza della settima luce, l’illuminazione della gloria. Appare chiaro il percorso strutturalmente parallelo a quello dell’</w:t>
      </w:r>
      <w:r w:rsidRPr="00B45B0A">
        <w:rPr>
          <w:rFonts w:ascii="Times New Roman" w:hAnsi="Times New Roman" w:cs="Times New Roman"/>
          <w:i/>
          <w:iCs/>
          <w:sz w:val="24"/>
          <w:szCs w:val="24"/>
        </w:rPr>
        <w:t>Itinerarium</w:t>
      </w:r>
      <w:r>
        <w:rPr>
          <w:rFonts w:ascii="Times New Roman" w:hAnsi="Times New Roman" w:cs="Times New Roman"/>
          <w:sz w:val="24"/>
          <w:szCs w:val="24"/>
        </w:rPr>
        <w:t xml:space="preserve"> (opera di pochi anni posteriore).</w:t>
      </w:r>
    </w:p>
    <w:p w:rsidR="009402B3" w:rsidRPr="00DE2231"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luce della Scrittura, luce superiore, è </w:t>
      </w:r>
      <w:r>
        <w:rPr>
          <w:rFonts w:ascii="Times New Roman" w:hAnsi="Times New Roman" w:cs="Times New Roman"/>
          <w:i/>
          <w:iCs/>
          <w:sz w:val="24"/>
          <w:szCs w:val="24"/>
        </w:rPr>
        <w:t>una quanto al senso letterale ma triplice quanto al senso mistico e spirituale</w:t>
      </w:r>
      <w:r>
        <w:rPr>
          <w:rStyle w:val="FootnoteReference"/>
          <w:rFonts w:ascii="Times New Roman" w:hAnsi="Times New Roman" w:cs="Times New Roman"/>
          <w:i/>
          <w:iCs/>
          <w:sz w:val="24"/>
          <w:szCs w:val="24"/>
        </w:rPr>
        <w:footnoteReference w:id="26"/>
      </w:r>
      <w:r>
        <w:rPr>
          <w:rFonts w:ascii="Times New Roman" w:hAnsi="Times New Roman" w:cs="Times New Roman"/>
          <w:i/>
          <w:iCs/>
          <w:sz w:val="24"/>
          <w:szCs w:val="24"/>
        </w:rPr>
        <w:t xml:space="preserve">. </w:t>
      </w:r>
      <w:r>
        <w:rPr>
          <w:rFonts w:ascii="Times New Roman" w:hAnsi="Times New Roman" w:cs="Times New Roman"/>
          <w:sz w:val="24"/>
          <w:szCs w:val="24"/>
        </w:rPr>
        <w:t xml:space="preserve">L’enunciazione dei vari sensi spirituali segue, al n. 5, l’ordine più comune e il senso anagogico è descritto come quello che insegna </w:t>
      </w:r>
      <w:r>
        <w:rPr>
          <w:rFonts w:ascii="Times New Roman" w:hAnsi="Times New Roman" w:cs="Times New Roman"/>
          <w:i/>
          <w:iCs/>
          <w:sz w:val="24"/>
          <w:szCs w:val="24"/>
        </w:rPr>
        <w:t>qualiter est Deo adhaerendum</w:t>
      </w:r>
      <w:r>
        <w:rPr>
          <w:rStyle w:val="FootnoteReference"/>
          <w:rFonts w:ascii="Times New Roman" w:hAnsi="Times New Roman" w:cs="Times New Roman"/>
          <w:i/>
          <w:iCs/>
          <w:sz w:val="24"/>
          <w:szCs w:val="24"/>
        </w:rPr>
        <w:footnoteReference w:id="27"/>
      </w:r>
      <w:r>
        <w:rPr>
          <w:rFonts w:ascii="Times New Roman" w:hAnsi="Times New Roman" w:cs="Times New Roman"/>
          <w:sz w:val="24"/>
          <w:szCs w:val="24"/>
        </w:rPr>
        <w:t>. L’insegnamento anagogico è il fine dei precedenti (attinenti a fede e morale) e il suo ambito specifico è precisamente l’unione di Dio e dell’anima. A questo grado spirituale si dedicano i contemplativi, il cui maestro è Dionigi Pseudo-Areopagita, seguito nel tempo da Riccardo di San Vittore</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 interessante notare che, oltre all’anticipazione della struttura dell’</w:t>
      </w:r>
      <w:r>
        <w:rPr>
          <w:rFonts w:ascii="Times New Roman" w:hAnsi="Times New Roman" w:cs="Times New Roman"/>
          <w:i/>
          <w:iCs/>
          <w:sz w:val="24"/>
          <w:szCs w:val="24"/>
        </w:rPr>
        <w:t>Itinerarium</w:t>
      </w:r>
      <w:r>
        <w:rPr>
          <w:rFonts w:ascii="Times New Roman" w:hAnsi="Times New Roman" w:cs="Times New Roman"/>
          <w:sz w:val="24"/>
          <w:szCs w:val="24"/>
        </w:rPr>
        <w:t xml:space="preserve">, al n. 7 troviamo lo schema che il Dottore serafico utilizzerà nella sua ultima grande opera; infatti – come nelle </w:t>
      </w:r>
      <w:r>
        <w:rPr>
          <w:rFonts w:ascii="Times New Roman" w:hAnsi="Times New Roman" w:cs="Times New Roman"/>
          <w:i/>
          <w:iCs/>
          <w:sz w:val="24"/>
          <w:szCs w:val="24"/>
        </w:rPr>
        <w:t>Collationes in Hexaëmeron</w:t>
      </w:r>
      <w:r>
        <w:rPr>
          <w:rFonts w:ascii="Times New Roman" w:hAnsi="Times New Roman" w:cs="Times New Roman"/>
          <w:sz w:val="24"/>
          <w:szCs w:val="24"/>
        </w:rPr>
        <w:t xml:space="preserve"> – anche qui si parla dei sei giorni della creazione. Conviene richiamare il brano, in cui appare chiaramente la centralità della Scrittura e se ne sottolinea proprio il senso anagogico come quello in cui </w:t>
      </w:r>
      <w:r>
        <w:rPr>
          <w:rFonts w:ascii="Times New Roman" w:hAnsi="Times New Roman" w:cs="Times New Roman"/>
          <w:i/>
          <w:iCs/>
          <w:sz w:val="24"/>
          <w:szCs w:val="24"/>
        </w:rPr>
        <w:t>completus est circulus</w:t>
      </w:r>
      <w:r>
        <w:rPr>
          <w:rFonts w:ascii="Times New Roman" w:hAnsi="Times New Roman" w:cs="Times New Roman"/>
          <w:sz w:val="24"/>
          <w:szCs w:val="24"/>
        </w:rPr>
        <w:t>:</w:t>
      </w:r>
    </w:p>
    <w:p w:rsidR="009402B3" w:rsidRDefault="009402B3" w:rsidP="00547526">
      <w:pPr>
        <w:spacing w:after="0" w:line="240" w:lineRule="auto"/>
        <w:jc w:val="both"/>
        <w:rPr>
          <w:rFonts w:ascii="Times New Roman" w:hAnsi="Times New Roman" w:cs="Times New Roman"/>
          <w:sz w:val="24"/>
          <w:szCs w:val="24"/>
        </w:rPr>
      </w:pPr>
    </w:p>
    <w:p w:rsidR="009402B3" w:rsidRPr="00926E4E" w:rsidRDefault="009402B3" w:rsidP="00926E4E">
      <w:pPr>
        <w:spacing w:after="0" w:line="240" w:lineRule="auto"/>
        <w:ind w:left="840"/>
        <w:jc w:val="both"/>
        <w:rPr>
          <w:rFonts w:ascii="Times New Roman" w:hAnsi="Times New Roman" w:cs="Times New Roman"/>
        </w:rPr>
      </w:pPr>
      <w:r>
        <w:rPr>
          <w:rFonts w:ascii="Times New Roman" w:hAnsi="Times New Roman" w:cs="Times New Roman"/>
        </w:rPr>
        <w:t>«Molto opportunamente, pertanto, queste sei illuminazioni si possono ricondurre alle sei formazioni, ovvero illuminazioni, con cui è stato creato il mondo, in modo che la conoscenza della Sacra Scrittura corrisponda alla prima opera di formazione, cioè alla luce; e così di seguito secondo l’ordine esposto. E come tutte avevano origine da una sola luce, così tutte queste conoscenze sono ordinate alla conoscenza della Sacra Scrittura, in essa sono contenute, in essa trovano il loro compimento e mediante essa si ordinano all’eterna illuminazione. Ne segue che ogni nostra conoscenza deve avere il proprio punto finale nella conoscenza della Sacra Scrittura, specialmente nel suo senso anagogico, per mezzo del quale l’illuminazione si fa risalire a Dio, dal quale ha avuto origine. E, perciò, qui il cerchio si chiude, si completa il numero sei e, per questo, trova il suo punto fermo»</w:t>
      </w:r>
      <w:r>
        <w:rPr>
          <w:rStyle w:val="FootnoteReference"/>
          <w:rFonts w:ascii="Times New Roman" w:hAnsi="Times New Roman" w:cs="Times New Roman"/>
        </w:rPr>
        <w:footnoteReference w:id="29"/>
      </w:r>
      <w:r>
        <w:rPr>
          <w:rFonts w:ascii="Times New Roman" w:hAnsi="Times New Roman" w:cs="Times New Roman"/>
        </w:rPr>
        <w:t>.</w:t>
      </w:r>
    </w:p>
    <w:p w:rsidR="009402B3" w:rsidRDefault="009402B3" w:rsidP="00547526">
      <w:pPr>
        <w:spacing w:after="0" w:line="240" w:lineRule="auto"/>
        <w:jc w:val="both"/>
        <w:rPr>
          <w:rFonts w:ascii="Times New Roman" w:hAnsi="Times New Roman" w:cs="Times New Roman"/>
          <w:sz w:val="24"/>
          <w:szCs w:val="24"/>
        </w:rPr>
      </w:pP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Ogni luce, secondo l’anagogia, viene riferita a Dio dal quale ha avuto origine, solo questo passo consente di completare il processo di </w:t>
      </w:r>
      <w:r w:rsidRPr="00F0197A">
        <w:rPr>
          <w:rFonts w:ascii="Times New Roman" w:hAnsi="Times New Roman" w:cs="Times New Roman"/>
          <w:i/>
          <w:iCs/>
          <w:sz w:val="24"/>
          <w:szCs w:val="24"/>
        </w:rPr>
        <w:t>exitus-reditus</w:t>
      </w:r>
      <w:r>
        <w:rPr>
          <w:rFonts w:ascii="Times New Roman" w:hAnsi="Times New Roman" w:cs="Times New Roman"/>
          <w:sz w:val="24"/>
          <w:szCs w:val="24"/>
        </w:rPr>
        <w:t xml:space="preserve">. Perciò ogni umana conoscenza deve “avere </w:t>
      </w:r>
      <w:r w:rsidRPr="00F0197A">
        <w:rPr>
          <w:rFonts w:ascii="Times New Roman" w:hAnsi="Times New Roman" w:cs="Times New Roman"/>
          <w:i/>
          <w:iCs/>
          <w:sz w:val="24"/>
          <w:szCs w:val="24"/>
        </w:rPr>
        <w:t>statuum</w:t>
      </w:r>
      <w:r>
        <w:rPr>
          <w:rFonts w:ascii="Times New Roman" w:hAnsi="Times New Roman" w:cs="Times New Roman"/>
          <w:sz w:val="24"/>
          <w:szCs w:val="24"/>
        </w:rPr>
        <w:t xml:space="preserve">” (nel senso di ‘essere posta’, in relazione ad un ordine globale) nella Scrittura, </w:t>
      </w:r>
      <w:r>
        <w:rPr>
          <w:rFonts w:ascii="Times New Roman" w:hAnsi="Times New Roman" w:cs="Times New Roman"/>
          <w:i/>
          <w:iCs/>
          <w:sz w:val="24"/>
          <w:szCs w:val="24"/>
        </w:rPr>
        <w:t>maxime quantum ad intellectum anagogiae.</w:t>
      </w: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Dunque, in un testo tutto dedicato alla sintesi e all’unificazione dei saperi – che appaiono come differenti raggi di luce colorata uniti in un solo raggio bianchissimo – il riferimento al </w:t>
      </w:r>
      <w:r>
        <w:rPr>
          <w:rFonts w:ascii="Times New Roman" w:hAnsi="Times New Roman" w:cs="Times New Roman"/>
          <w:i/>
          <w:iCs/>
          <w:sz w:val="24"/>
          <w:szCs w:val="24"/>
        </w:rPr>
        <w:t>completus circulus,</w:t>
      </w:r>
      <w:r>
        <w:rPr>
          <w:rFonts w:ascii="Times New Roman" w:hAnsi="Times New Roman" w:cs="Times New Roman"/>
          <w:sz w:val="24"/>
          <w:szCs w:val="24"/>
        </w:rPr>
        <w:t xml:space="preserve"> come luogo in cui si giunge con l’anagogia, è estremamente significativo.</w:t>
      </w:r>
    </w:p>
    <w:p w:rsidR="009402B3" w:rsidRDefault="009402B3" w:rsidP="00547526">
      <w:pPr>
        <w:spacing w:after="0" w:line="240" w:lineRule="auto"/>
        <w:jc w:val="both"/>
        <w:rPr>
          <w:rFonts w:ascii="Times New Roman" w:hAnsi="Times New Roman" w:cs="Times New Roman"/>
          <w:sz w:val="24"/>
          <w:szCs w:val="24"/>
        </w:rPr>
      </w:pPr>
    </w:p>
    <w:p w:rsidR="009402B3" w:rsidRDefault="009402B3" w:rsidP="00DD6927">
      <w:pPr>
        <w:spacing w:after="0" w:line="240" w:lineRule="auto"/>
        <w:jc w:val="center"/>
        <w:rPr>
          <w:rFonts w:ascii="Times New Roman" w:hAnsi="Times New Roman" w:cs="Times New Roman"/>
          <w:sz w:val="24"/>
          <w:szCs w:val="24"/>
        </w:rPr>
      </w:pPr>
      <w:r w:rsidRPr="00342011">
        <w:rPr>
          <w:rFonts w:ascii="Times New Roman" w:hAnsi="Times New Roman" w:cs="Times New Roman"/>
          <w:noProof/>
          <w:sz w:val="24"/>
          <w:szCs w:val="24"/>
          <w:lang w:eastAsia="it-IT"/>
        </w:rPr>
        <w:pict>
          <v:shape id="Immagine 11" o:spid="_x0000_i1029" type="#_x0000_t75" style="width:481.5pt;height:394.5pt;visibility:visible" o:bordertopcolor="black" o:borderleftcolor="black" o:borderbottomcolor="black" o:borderrightcolor="black">
            <v:imagedata r:id="rId11" o:title=""/>
            <w10:bordertop type="single" width="2"/>
            <w10:borderleft type="single" width="2"/>
            <w10:borderbottom type="single" width="2"/>
            <w10:borderright type="single" width="2"/>
          </v:shape>
        </w:pict>
      </w:r>
    </w:p>
    <w:p w:rsidR="009402B3" w:rsidRDefault="009402B3" w:rsidP="00547526">
      <w:pPr>
        <w:spacing w:after="0" w:line="240" w:lineRule="auto"/>
        <w:jc w:val="both"/>
        <w:rPr>
          <w:rFonts w:ascii="Times New Roman" w:hAnsi="Times New Roman" w:cs="Times New Roman"/>
          <w:sz w:val="24"/>
          <w:szCs w:val="24"/>
        </w:rPr>
      </w:pPr>
    </w:p>
    <w:p w:rsidR="009402B3" w:rsidRDefault="009402B3" w:rsidP="00547526">
      <w:pPr>
        <w:spacing w:after="0" w:line="240" w:lineRule="auto"/>
        <w:jc w:val="both"/>
        <w:rPr>
          <w:rFonts w:ascii="Times New Roman" w:hAnsi="Times New Roman" w:cs="Times New Roman"/>
          <w:sz w:val="24"/>
          <w:szCs w:val="24"/>
        </w:rPr>
      </w:pP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Il </w:t>
      </w:r>
      <w:r w:rsidRPr="00F0197A">
        <w:rPr>
          <w:rFonts w:ascii="Times New Roman" w:hAnsi="Times New Roman" w:cs="Times New Roman"/>
          <w:b/>
          <w:bCs/>
          <w:i/>
          <w:iCs/>
          <w:sz w:val="24"/>
          <w:szCs w:val="24"/>
        </w:rPr>
        <w:t>De triplici via</w:t>
      </w:r>
      <w:r>
        <w:rPr>
          <w:rFonts w:ascii="Times New Roman" w:hAnsi="Times New Roman" w:cs="Times New Roman"/>
          <w:sz w:val="24"/>
          <w:szCs w:val="24"/>
        </w:rPr>
        <w:t xml:space="preserve">. Nello scritto </w:t>
      </w:r>
      <w:r w:rsidRPr="00F0197A">
        <w:rPr>
          <w:rFonts w:ascii="Times New Roman" w:hAnsi="Times New Roman" w:cs="Times New Roman"/>
          <w:i/>
          <w:iCs/>
          <w:sz w:val="24"/>
          <w:szCs w:val="24"/>
        </w:rPr>
        <w:t>De triplici via alias incendium amoris</w:t>
      </w:r>
      <w:r>
        <w:rPr>
          <w:rFonts w:ascii="Times New Roman" w:hAnsi="Times New Roman" w:cs="Times New Roman"/>
          <w:sz w:val="24"/>
          <w:szCs w:val="24"/>
        </w:rPr>
        <w:t>, del 1259-60, il prologo presenta la struttura dell’opera, ispirata alla Trinità. Il triplice modo d’intendere la Scrittura – come abbiamo accennato precedentemente</w:t>
      </w:r>
      <w:r>
        <w:rPr>
          <w:rStyle w:val="FootnoteReference"/>
          <w:rFonts w:ascii="Times New Roman" w:hAnsi="Times New Roman" w:cs="Times New Roman"/>
          <w:sz w:val="24"/>
          <w:szCs w:val="24"/>
        </w:rPr>
        <w:footnoteReference w:id="30"/>
      </w:r>
      <w:r>
        <w:rPr>
          <w:rFonts w:ascii="Times New Roman" w:hAnsi="Times New Roman" w:cs="Times New Roman"/>
          <w:sz w:val="24"/>
          <w:szCs w:val="24"/>
        </w:rPr>
        <w:t xml:space="preserve"> - si presenta nell’ordine che premette l’aspetto morale a quello allegorico, ciò serve all’Autore per poter poi esporre la materia nell’ordine: purificazione (morale, che conduce alla pace), illuminazione (allegoria, che conduce alla verità) e perfezione (anagogia, che conduce alla carità). La vita di preghiera, che è argomento dell’opera, si modella anch’essa in triplice modo</w:t>
      </w:r>
      <w:r w:rsidRPr="006F0D28">
        <w:rPr>
          <w:rFonts w:ascii="Times New Roman" w:hAnsi="Times New Roman" w:cs="Times New Roman"/>
          <w:i/>
          <w:iCs/>
          <w:sz w:val="24"/>
          <w:szCs w:val="24"/>
        </w:rPr>
        <w:t>: lectio, oratio, contemplatio</w:t>
      </w:r>
      <w:r>
        <w:rPr>
          <w:rFonts w:ascii="Times New Roman" w:hAnsi="Times New Roman" w:cs="Times New Roman"/>
          <w:sz w:val="24"/>
          <w:szCs w:val="24"/>
        </w:rPr>
        <w:t>. Nel seguito, ciascuna parte verrà nuovamente suddivisa secondo un disegno insieme chiaro e complesso che – come spesso negli scritti di Bonaventura – ricorda l’andamento di strutture frattali.</w:t>
      </w:r>
    </w:p>
    <w:p w:rsidR="009402B3" w:rsidRDefault="009402B3" w:rsidP="00547526">
      <w:pPr>
        <w:spacing w:after="0" w:line="240" w:lineRule="auto"/>
        <w:jc w:val="both"/>
        <w:rPr>
          <w:rFonts w:ascii="Times New Roman" w:hAnsi="Times New Roman" w:cs="Times New Roman"/>
          <w:sz w:val="24"/>
          <w:szCs w:val="24"/>
        </w:rPr>
      </w:pPr>
    </w:p>
    <w:p w:rsidR="009402B3" w:rsidRDefault="009402B3" w:rsidP="00DD6927">
      <w:pPr>
        <w:spacing w:after="0" w:line="240" w:lineRule="auto"/>
        <w:jc w:val="center"/>
        <w:rPr>
          <w:rFonts w:ascii="Times New Roman" w:hAnsi="Times New Roman" w:cs="Times New Roman"/>
          <w:sz w:val="24"/>
          <w:szCs w:val="24"/>
        </w:rPr>
      </w:pPr>
      <w:r w:rsidRPr="00342011">
        <w:rPr>
          <w:rFonts w:ascii="Times New Roman" w:hAnsi="Times New Roman" w:cs="Times New Roman"/>
          <w:noProof/>
          <w:sz w:val="24"/>
          <w:szCs w:val="24"/>
          <w:lang w:eastAsia="it-IT"/>
        </w:rPr>
        <w:pict>
          <v:shape id="Immagine 6" o:spid="_x0000_i1030" type="#_x0000_t75" style="width:456pt;height:516.75pt;visibility:visible" o:bordertopcolor="black" o:borderleftcolor="black" o:borderbottomcolor="black" o:borderrightcolor="black">
            <v:imagedata r:id="rId12" o:title=""/>
            <w10:bordertop type="single" width="2"/>
            <w10:borderleft type="single" width="2"/>
            <w10:borderbottom type="single" width="2"/>
            <w10:borderright type="single" width="2"/>
          </v:shape>
        </w:pict>
      </w:r>
    </w:p>
    <w:p w:rsidR="009402B3" w:rsidRDefault="009402B3" w:rsidP="00547526">
      <w:pPr>
        <w:spacing w:after="0" w:line="240" w:lineRule="auto"/>
        <w:jc w:val="both"/>
        <w:rPr>
          <w:rFonts w:ascii="Times New Roman" w:hAnsi="Times New Roman" w:cs="Times New Roman"/>
          <w:sz w:val="24"/>
          <w:szCs w:val="24"/>
        </w:rPr>
      </w:pPr>
    </w:p>
    <w:p w:rsidR="009402B3" w:rsidRDefault="009402B3" w:rsidP="00547526">
      <w:pPr>
        <w:spacing w:after="0" w:line="240" w:lineRule="auto"/>
        <w:jc w:val="both"/>
        <w:rPr>
          <w:rFonts w:ascii="Times New Roman" w:hAnsi="Times New Roman" w:cs="Times New Roman"/>
          <w:sz w:val="24"/>
          <w:szCs w:val="24"/>
        </w:rPr>
      </w:pPr>
    </w:p>
    <w:p w:rsidR="009402B3" w:rsidRDefault="009402B3" w:rsidP="0054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Pr="006F0D28">
        <w:rPr>
          <w:rFonts w:ascii="Times New Roman" w:hAnsi="Times New Roman" w:cs="Times New Roman"/>
          <w:b/>
          <w:bCs/>
          <w:i/>
          <w:iCs/>
          <w:sz w:val="24"/>
          <w:szCs w:val="24"/>
        </w:rPr>
        <w:t xml:space="preserve">Itinerarium mentis in </w:t>
      </w:r>
      <w:r>
        <w:rPr>
          <w:rFonts w:ascii="Times New Roman" w:hAnsi="Times New Roman" w:cs="Times New Roman"/>
          <w:b/>
          <w:bCs/>
          <w:i/>
          <w:iCs/>
          <w:sz w:val="24"/>
          <w:szCs w:val="24"/>
        </w:rPr>
        <w:t>D</w:t>
      </w:r>
      <w:r w:rsidRPr="006F0D28">
        <w:rPr>
          <w:rFonts w:ascii="Times New Roman" w:hAnsi="Times New Roman" w:cs="Times New Roman"/>
          <w:b/>
          <w:bCs/>
          <w:i/>
          <w:iCs/>
          <w:sz w:val="24"/>
          <w:szCs w:val="24"/>
        </w:rPr>
        <w:t>eum</w:t>
      </w:r>
      <w:r>
        <w:rPr>
          <w:rFonts w:ascii="Times New Roman" w:hAnsi="Times New Roman" w:cs="Times New Roman"/>
          <w:sz w:val="24"/>
          <w:szCs w:val="24"/>
        </w:rPr>
        <w:t>. In questo stesso periodo, negli anni 1259-1260, Bonaventura compone l’</w:t>
      </w:r>
      <w:r>
        <w:rPr>
          <w:rFonts w:ascii="Times New Roman" w:hAnsi="Times New Roman" w:cs="Times New Roman"/>
          <w:i/>
          <w:iCs/>
          <w:sz w:val="24"/>
          <w:szCs w:val="24"/>
        </w:rPr>
        <w:t>Itinerarium mentis in Deum</w:t>
      </w:r>
      <w:r>
        <w:rPr>
          <w:rFonts w:ascii="Times New Roman" w:hAnsi="Times New Roman" w:cs="Times New Roman"/>
          <w:sz w:val="24"/>
          <w:szCs w:val="24"/>
        </w:rPr>
        <w:t xml:space="preserve">, nel quale – come già nel </w:t>
      </w:r>
      <w:r>
        <w:rPr>
          <w:rFonts w:ascii="Times New Roman" w:hAnsi="Times New Roman" w:cs="Times New Roman"/>
          <w:i/>
          <w:iCs/>
          <w:sz w:val="24"/>
          <w:szCs w:val="24"/>
        </w:rPr>
        <w:t>De reductione</w:t>
      </w:r>
      <w:r>
        <w:rPr>
          <w:rFonts w:ascii="Times New Roman" w:hAnsi="Times New Roman" w:cs="Times New Roman"/>
          <w:sz w:val="24"/>
          <w:szCs w:val="24"/>
        </w:rPr>
        <w:t xml:space="preserve"> – il percorso dell’anima prende avvio dalla creazione. Il cammino umano di ricerca di Dio non è una scalata basata sulle proprie forze ma un itinerario guidato dallo Spirito e che richiede l’accoglienza di un dono:</w:t>
      </w:r>
    </w:p>
    <w:p w:rsidR="009402B3" w:rsidRDefault="009402B3" w:rsidP="00547526">
      <w:pPr>
        <w:spacing w:after="0" w:line="240" w:lineRule="auto"/>
        <w:jc w:val="both"/>
        <w:rPr>
          <w:rFonts w:ascii="Times New Roman" w:hAnsi="Times New Roman" w:cs="Times New Roman"/>
          <w:sz w:val="24"/>
          <w:szCs w:val="24"/>
        </w:rPr>
      </w:pPr>
    </w:p>
    <w:p w:rsidR="009402B3" w:rsidRDefault="009402B3" w:rsidP="001572BB">
      <w:pPr>
        <w:spacing w:after="0" w:line="240" w:lineRule="auto"/>
        <w:ind w:left="708"/>
        <w:jc w:val="both"/>
        <w:rPr>
          <w:rFonts w:ascii="Times New Roman" w:hAnsi="Times New Roman" w:cs="Times New Roman"/>
          <w:sz w:val="24"/>
          <w:szCs w:val="24"/>
        </w:rPr>
      </w:pPr>
      <w:r>
        <w:rPr>
          <w:rFonts w:ascii="Times New Roman" w:hAnsi="Times New Roman" w:cs="Times New Roman"/>
        </w:rPr>
        <w:t xml:space="preserve">«Il </w:t>
      </w:r>
      <w:r w:rsidRPr="001572BB">
        <w:rPr>
          <w:rFonts w:ascii="Times New Roman" w:hAnsi="Times New Roman" w:cs="Times New Roman"/>
          <w:i/>
          <w:iCs/>
        </w:rPr>
        <w:t>De reductione</w:t>
      </w:r>
      <w:r>
        <w:rPr>
          <w:rFonts w:ascii="Times New Roman" w:hAnsi="Times New Roman" w:cs="Times New Roman"/>
        </w:rPr>
        <w:t xml:space="preserve"> e l’</w:t>
      </w:r>
      <w:r>
        <w:rPr>
          <w:rFonts w:ascii="Times New Roman" w:hAnsi="Times New Roman" w:cs="Times New Roman"/>
          <w:i/>
          <w:iCs/>
        </w:rPr>
        <w:t>Itinerarium</w:t>
      </w:r>
      <w:r>
        <w:rPr>
          <w:rFonts w:ascii="Times New Roman" w:hAnsi="Times New Roman" w:cs="Times New Roman"/>
        </w:rPr>
        <w:t xml:space="preserve"> propongono una risalita graduale che inizia dal sensibile per culminare nel ricongiungimento con il Creatore. Tale cammino segue delle tappe ben delineate e termina, in entrambi i casi, con un “salto”. Il passaggio finale, non è uno dei gradini della </w:t>
      </w:r>
      <w:r>
        <w:rPr>
          <w:rFonts w:ascii="Times New Roman" w:hAnsi="Times New Roman" w:cs="Times New Roman"/>
          <w:i/>
          <w:iCs/>
        </w:rPr>
        <w:t>reductio</w:t>
      </w:r>
      <w:r>
        <w:rPr>
          <w:rFonts w:ascii="Times New Roman" w:hAnsi="Times New Roman" w:cs="Times New Roman"/>
        </w:rPr>
        <w:t xml:space="preserve"> o dell’</w:t>
      </w:r>
      <w:r>
        <w:rPr>
          <w:rFonts w:ascii="Times New Roman" w:hAnsi="Times New Roman" w:cs="Times New Roman"/>
          <w:i/>
          <w:iCs/>
        </w:rPr>
        <w:t>ascensus</w:t>
      </w:r>
      <w:r>
        <w:rPr>
          <w:rFonts w:ascii="Times New Roman" w:hAnsi="Times New Roman" w:cs="Times New Roman"/>
        </w:rPr>
        <w:t>, ma si tratta di un repentino e radicale abbandono di qualsiasi legame sia con le cose, sia con il pensiero che aveva fin qui guidato l’ascesa»</w:t>
      </w:r>
      <w:r>
        <w:rPr>
          <w:rStyle w:val="FootnoteReference"/>
          <w:rFonts w:ascii="Times New Roman" w:hAnsi="Times New Roman" w:cs="Times New Roman"/>
        </w:rPr>
        <w:footnoteReference w:id="31"/>
      </w:r>
      <w:r>
        <w:rPr>
          <w:rFonts w:ascii="Times New Roman" w:hAnsi="Times New Roman" w:cs="Times New Roman"/>
        </w:rPr>
        <w:t>.</w:t>
      </w:r>
    </w:p>
    <w:p w:rsidR="009402B3" w:rsidRDefault="009402B3" w:rsidP="001572BB">
      <w:pPr>
        <w:spacing w:after="0" w:line="240" w:lineRule="auto"/>
        <w:ind w:left="708"/>
        <w:jc w:val="both"/>
        <w:rPr>
          <w:rFonts w:ascii="Times New Roman" w:hAnsi="Times New Roman" w:cs="Times New Roman"/>
          <w:sz w:val="24"/>
          <w:szCs w:val="24"/>
        </w:rPr>
      </w:pPr>
    </w:p>
    <w:p w:rsidR="009402B3" w:rsidRDefault="009402B3" w:rsidP="001D4DAC">
      <w:pPr>
        <w:spacing w:after="0" w:line="240" w:lineRule="auto"/>
        <w:ind w:left="28"/>
        <w:jc w:val="both"/>
        <w:rPr>
          <w:rFonts w:ascii="Times New Roman" w:hAnsi="Times New Roman" w:cs="Times New Roman"/>
          <w:sz w:val="24"/>
          <w:szCs w:val="24"/>
        </w:rPr>
      </w:pPr>
      <w:r>
        <w:rPr>
          <w:rFonts w:ascii="Times New Roman" w:hAnsi="Times New Roman" w:cs="Times New Roman"/>
          <w:sz w:val="24"/>
          <w:szCs w:val="24"/>
        </w:rPr>
        <w:t xml:space="preserve">Quando, in </w:t>
      </w:r>
      <w:r>
        <w:rPr>
          <w:rFonts w:ascii="Times New Roman" w:hAnsi="Times New Roman" w:cs="Times New Roman"/>
          <w:i/>
          <w:iCs/>
          <w:sz w:val="24"/>
          <w:szCs w:val="24"/>
        </w:rPr>
        <w:t>Itinerarium</w:t>
      </w:r>
      <w:r>
        <w:rPr>
          <w:rFonts w:ascii="Times New Roman" w:hAnsi="Times New Roman" w:cs="Times New Roman"/>
          <w:sz w:val="24"/>
          <w:szCs w:val="24"/>
        </w:rPr>
        <w:t xml:space="preserve"> IV,6, Bonaventura parla dell’anagogia la definisce come il senso spirituale che </w:t>
      </w:r>
      <w:r w:rsidRPr="00780DC7">
        <w:rPr>
          <w:rFonts w:ascii="Times New Roman" w:hAnsi="Times New Roman" w:cs="Times New Roman"/>
          <w:i/>
          <w:iCs/>
          <w:sz w:val="24"/>
          <w:szCs w:val="24"/>
        </w:rPr>
        <w:t xml:space="preserve">rende </w:t>
      </w:r>
      <w:r>
        <w:rPr>
          <w:rFonts w:ascii="Times New Roman" w:hAnsi="Times New Roman" w:cs="Times New Roman"/>
          <w:i/>
          <w:iCs/>
          <w:sz w:val="24"/>
          <w:szCs w:val="24"/>
        </w:rPr>
        <w:t>perfetti con le estasi della mente e le dolcissime percezioni della sapienza</w:t>
      </w:r>
      <w:r>
        <w:rPr>
          <w:rStyle w:val="FootnoteReference"/>
          <w:rFonts w:ascii="Times New Roman" w:hAnsi="Times New Roman" w:cs="Times New Roman"/>
          <w:i/>
          <w:iCs/>
          <w:sz w:val="24"/>
          <w:szCs w:val="24"/>
        </w:rPr>
        <w:footnoteReference w:id="32"/>
      </w:r>
      <w:r>
        <w:rPr>
          <w:rFonts w:ascii="Times New Roman" w:hAnsi="Times New Roman" w:cs="Times New Roman"/>
          <w:i/>
          <w:iCs/>
          <w:sz w:val="24"/>
          <w:szCs w:val="24"/>
        </w:rPr>
        <w:t>.</w:t>
      </w:r>
      <w:r>
        <w:rPr>
          <w:rFonts w:ascii="Times New Roman" w:hAnsi="Times New Roman" w:cs="Times New Roman"/>
          <w:sz w:val="24"/>
          <w:szCs w:val="24"/>
        </w:rPr>
        <w:t xml:space="preserve"> Anche ora, usando lo stesso triplice schema di purificazione-illuminazione-perfezione, in questa pagina premette l’aspetto morale a quello allegorico. La notissima pagina che conclude l’opera richiama precisamente la terminologia indicata in riferimento al grado anagogico</w:t>
      </w:r>
      <w:r>
        <w:rPr>
          <w:rStyle w:val="FootnoteReference"/>
          <w:rFonts w:ascii="Times New Roman" w:hAnsi="Times New Roman" w:cs="Times New Roman"/>
          <w:sz w:val="24"/>
          <w:szCs w:val="24"/>
        </w:rPr>
        <w:footnoteReference w:id="33"/>
      </w:r>
      <w:r>
        <w:rPr>
          <w:rFonts w:ascii="Times New Roman" w:hAnsi="Times New Roman" w:cs="Times New Roman"/>
          <w:sz w:val="24"/>
          <w:szCs w:val="24"/>
        </w:rPr>
        <w:t>.</w:t>
      </w:r>
    </w:p>
    <w:p w:rsidR="009402B3" w:rsidRDefault="009402B3" w:rsidP="001D4DAC">
      <w:pPr>
        <w:spacing w:after="0" w:line="240" w:lineRule="auto"/>
        <w:ind w:left="28"/>
        <w:jc w:val="both"/>
        <w:rPr>
          <w:rFonts w:ascii="Times New Roman" w:hAnsi="Times New Roman" w:cs="Times New Roman"/>
          <w:sz w:val="24"/>
          <w:szCs w:val="24"/>
        </w:rPr>
      </w:pPr>
      <w:r>
        <w:rPr>
          <w:rFonts w:ascii="Times New Roman" w:hAnsi="Times New Roman" w:cs="Times New Roman"/>
          <w:sz w:val="24"/>
          <w:szCs w:val="24"/>
        </w:rPr>
        <w:t>Infatti il grado anagogico, nel senso più ampio che Bonaventura gli attribuisce, è quello che consente con la massima chiarezza di evidenziare la differenza tra il percorso cristiano e un percorso di ascesa di tipo gnostico, dove, se ci si ferma alle prime tappe o si distacca artificialmente dalla fonte scritturistica il percorso di ricerca dell’uomo, si può rischiare di fraintendere quanto Bonaventura propone</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w:t>
      </w:r>
    </w:p>
    <w:p w:rsidR="009402B3" w:rsidRDefault="009402B3" w:rsidP="001D4DAC">
      <w:pPr>
        <w:spacing w:after="0" w:line="240" w:lineRule="auto"/>
        <w:ind w:left="28"/>
        <w:jc w:val="both"/>
        <w:rPr>
          <w:rFonts w:ascii="Times New Roman" w:hAnsi="Times New Roman" w:cs="Times New Roman"/>
          <w:sz w:val="24"/>
          <w:szCs w:val="24"/>
        </w:rPr>
      </w:pPr>
    </w:p>
    <w:p w:rsidR="009402B3" w:rsidRDefault="009402B3" w:rsidP="00DD6927">
      <w:pPr>
        <w:spacing w:after="0" w:line="240" w:lineRule="auto"/>
        <w:ind w:left="28"/>
        <w:jc w:val="center"/>
        <w:rPr>
          <w:rFonts w:ascii="Times New Roman" w:hAnsi="Times New Roman" w:cs="Times New Roman"/>
          <w:sz w:val="24"/>
          <w:szCs w:val="24"/>
        </w:rPr>
      </w:pPr>
      <w:r w:rsidRPr="00342011">
        <w:rPr>
          <w:rFonts w:ascii="Times New Roman" w:hAnsi="Times New Roman" w:cs="Times New Roman"/>
          <w:noProof/>
          <w:sz w:val="24"/>
          <w:szCs w:val="24"/>
          <w:lang w:eastAsia="it-IT"/>
        </w:rPr>
        <w:pict>
          <v:shape id="Immagine 7" o:spid="_x0000_i1031" type="#_x0000_t75" style="width:462pt;height:429.75pt;visibility:visible" o:bordertopcolor="black" o:borderleftcolor="black" o:borderbottomcolor="black" o:borderrightcolor="black">
            <v:imagedata r:id="rId13" o:title=""/>
            <w10:bordertop type="single" width="2"/>
            <w10:borderleft type="single" width="2"/>
            <w10:borderbottom type="single" width="2"/>
            <w10:borderright type="single" width="2"/>
          </v:shape>
        </w:pict>
      </w:r>
    </w:p>
    <w:p w:rsidR="009402B3" w:rsidRDefault="009402B3" w:rsidP="001D4DAC">
      <w:pPr>
        <w:spacing w:after="0" w:line="240" w:lineRule="auto"/>
        <w:ind w:left="28"/>
        <w:jc w:val="both"/>
        <w:rPr>
          <w:rFonts w:ascii="Times New Roman" w:hAnsi="Times New Roman" w:cs="Times New Roman"/>
          <w:sz w:val="24"/>
          <w:szCs w:val="24"/>
        </w:rPr>
      </w:pPr>
    </w:p>
    <w:p w:rsidR="009402B3" w:rsidRDefault="009402B3" w:rsidP="001D4DAC">
      <w:pPr>
        <w:spacing w:after="0" w:line="240" w:lineRule="auto"/>
        <w:ind w:left="28"/>
        <w:jc w:val="both"/>
        <w:rPr>
          <w:rFonts w:ascii="Times New Roman" w:hAnsi="Times New Roman" w:cs="Times New Roman"/>
          <w:sz w:val="24"/>
          <w:szCs w:val="24"/>
        </w:rPr>
      </w:pPr>
      <w:r>
        <w:rPr>
          <w:rFonts w:ascii="Times New Roman" w:hAnsi="Times New Roman" w:cs="Times New Roman"/>
          <w:sz w:val="24"/>
          <w:szCs w:val="24"/>
        </w:rPr>
        <w:t xml:space="preserve">Le </w:t>
      </w:r>
      <w:r>
        <w:rPr>
          <w:rFonts w:ascii="Times New Roman" w:hAnsi="Times New Roman" w:cs="Times New Roman"/>
          <w:b/>
          <w:bCs/>
          <w:i/>
          <w:iCs/>
          <w:sz w:val="24"/>
          <w:szCs w:val="24"/>
        </w:rPr>
        <w:t>Collationes in Hexaëmeron</w:t>
      </w:r>
      <w:r>
        <w:rPr>
          <w:rFonts w:ascii="Times New Roman" w:hAnsi="Times New Roman" w:cs="Times New Roman"/>
          <w:sz w:val="24"/>
          <w:szCs w:val="24"/>
        </w:rPr>
        <w:t xml:space="preserve"> (1273). Nella serie di </w:t>
      </w:r>
      <w:r>
        <w:rPr>
          <w:rFonts w:ascii="Times New Roman" w:hAnsi="Times New Roman" w:cs="Times New Roman"/>
          <w:i/>
          <w:iCs/>
          <w:sz w:val="24"/>
          <w:szCs w:val="24"/>
        </w:rPr>
        <w:t>Collationes de septem donis Spiritus Sancti</w:t>
      </w:r>
      <w:r>
        <w:rPr>
          <w:rFonts w:ascii="Times New Roman" w:hAnsi="Times New Roman" w:cs="Times New Roman"/>
          <w:sz w:val="24"/>
          <w:szCs w:val="24"/>
        </w:rPr>
        <w:t>, predicate da Bonaventura nella quaresima del 1268, si trovano alcuni riferimenti al grado anagogico della Scrittura: implicitamente, dove si parla della “molteplicità di significati” della Scrittura a proposito del dono della scienza</w:t>
      </w:r>
      <w:r>
        <w:rPr>
          <w:rStyle w:val="FootnoteReference"/>
          <w:rFonts w:ascii="Times New Roman" w:hAnsi="Times New Roman" w:cs="Times New Roman"/>
          <w:sz w:val="24"/>
          <w:szCs w:val="24"/>
        </w:rPr>
        <w:footnoteReference w:id="35"/>
      </w:r>
      <w:r>
        <w:rPr>
          <w:rFonts w:ascii="Times New Roman" w:hAnsi="Times New Roman" w:cs="Times New Roman"/>
          <w:sz w:val="24"/>
          <w:szCs w:val="24"/>
        </w:rPr>
        <w:t xml:space="preserve">, esplicitamente nel presentare il dono del consiglio, commentando Proverbi 31,3: “[la donna forte] </w:t>
      </w:r>
      <w:r w:rsidRPr="002C2985">
        <w:rPr>
          <w:rFonts w:ascii="Times New Roman" w:hAnsi="Times New Roman" w:cs="Times New Roman"/>
          <w:i/>
          <w:iCs/>
          <w:sz w:val="24"/>
          <w:szCs w:val="24"/>
        </w:rPr>
        <w:t>si procura lana e lino</w:t>
      </w:r>
      <w:r>
        <w:rPr>
          <w:rFonts w:ascii="Times New Roman" w:hAnsi="Times New Roman" w:cs="Times New Roman"/>
          <w:i/>
          <w:iCs/>
          <w:sz w:val="24"/>
          <w:szCs w:val="24"/>
        </w:rPr>
        <w:t xml:space="preserve"> e li lavora volentieri con le mani</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w:t>
      </w:r>
    </w:p>
    <w:p w:rsidR="009402B3" w:rsidRDefault="009402B3" w:rsidP="001D4DAC">
      <w:pPr>
        <w:spacing w:after="0" w:line="240" w:lineRule="auto"/>
        <w:ind w:left="28"/>
        <w:jc w:val="both"/>
        <w:rPr>
          <w:rFonts w:ascii="Times New Roman" w:hAnsi="Times New Roman" w:cs="Times New Roman"/>
          <w:sz w:val="24"/>
          <w:szCs w:val="24"/>
        </w:rPr>
      </w:pPr>
    </w:p>
    <w:p w:rsidR="009402B3" w:rsidRDefault="009402B3" w:rsidP="00DD6927">
      <w:pPr>
        <w:spacing w:after="0" w:line="240" w:lineRule="auto"/>
        <w:ind w:left="28"/>
        <w:jc w:val="center"/>
        <w:rPr>
          <w:rFonts w:ascii="Times New Roman" w:hAnsi="Times New Roman" w:cs="Times New Roman"/>
          <w:sz w:val="24"/>
          <w:szCs w:val="24"/>
        </w:rPr>
      </w:pPr>
      <w:r w:rsidRPr="00342011">
        <w:rPr>
          <w:rFonts w:ascii="Times New Roman" w:hAnsi="Times New Roman" w:cs="Times New Roman"/>
          <w:noProof/>
          <w:sz w:val="24"/>
          <w:szCs w:val="24"/>
          <w:lang w:eastAsia="it-IT"/>
        </w:rPr>
        <w:pict>
          <v:shape id="Immagine 8" o:spid="_x0000_i1032" type="#_x0000_t75" style="width:443.25pt;height:469.5pt;visibility:visible" o:bordertopcolor="black" o:borderleftcolor="black" o:borderbottomcolor="black" o:borderrightcolor="black">
            <v:imagedata r:id="rId14" o:title=""/>
            <w10:bordertop type="single" width="2"/>
            <w10:borderleft type="single" width="2"/>
            <w10:borderbottom type="single" width="2"/>
            <w10:borderright type="single" width="2"/>
          </v:shape>
        </w:pict>
      </w:r>
    </w:p>
    <w:p w:rsidR="009402B3" w:rsidRDefault="009402B3" w:rsidP="001D4DAC">
      <w:pPr>
        <w:spacing w:after="0" w:line="240" w:lineRule="auto"/>
        <w:ind w:left="28"/>
        <w:jc w:val="both"/>
        <w:rPr>
          <w:rFonts w:ascii="Times New Roman" w:hAnsi="Times New Roman" w:cs="Times New Roman"/>
          <w:sz w:val="24"/>
          <w:szCs w:val="24"/>
        </w:rPr>
      </w:pPr>
    </w:p>
    <w:p w:rsidR="009402B3" w:rsidRDefault="009402B3" w:rsidP="001D4DAC">
      <w:pPr>
        <w:spacing w:after="0" w:line="240" w:lineRule="auto"/>
        <w:ind w:left="28"/>
        <w:jc w:val="both"/>
        <w:rPr>
          <w:rFonts w:ascii="Times New Roman" w:hAnsi="Times New Roman" w:cs="Times New Roman"/>
          <w:sz w:val="24"/>
          <w:szCs w:val="24"/>
        </w:rPr>
      </w:pPr>
      <w:r>
        <w:rPr>
          <w:rFonts w:ascii="Times New Roman" w:hAnsi="Times New Roman" w:cs="Times New Roman"/>
          <w:sz w:val="24"/>
          <w:szCs w:val="24"/>
        </w:rPr>
        <w:t xml:space="preserve">Nelle </w:t>
      </w:r>
      <w:r>
        <w:rPr>
          <w:rFonts w:ascii="Times New Roman" w:hAnsi="Times New Roman" w:cs="Times New Roman"/>
          <w:i/>
          <w:iCs/>
          <w:sz w:val="24"/>
          <w:szCs w:val="24"/>
        </w:rPr>
        <w:t>Collationes in Hexaëmeron</w:t>
      </w:r>
      <w:r>
        <w:rPr>
          <w:rFonts w:ascii="Times New Roman" w:hAnsi="Times New Roman" w:cs="Times New Roman"/>
          <w:sz w:val="24"/>
          <w:szCs w:val="24"/>
        </w:rPr>
        <w:t xml:space="preserve"> il tema dell’anagogia ritorna più frequentemente che in tutte le opere precedenti, non limitato alla </w:t>
      </w:r>
      <w:r w:rsidRPr="009F4189">
        <w:rPr>
          <w:rFonts w:ascii="Times New Roman" w:hAnsi="Times New Roman" w:cs="Times New Roman"/>
          <w:i/>
          <w:iCs/>
          <w:sz w:val="24"/>
          <w:szCs w:val="24"/>
        </w:rPr>
        <w:t>collatio</w:t>
      </w:r>
      <w:r>
        <w:rPr>
          <w:rFonts w:ascii="Times New Roman" w:hAnsi="Times New Roman" w:cs="Times New Roman"/>
          <w:sz w:val="24"/>
          <w:szCs w:val="24"/>
        </w:rPr>
        <w:t xml:space="preserve"> XIII, in cui se ne parla estesamente. Per quanto riguarda l’ordine in cui vengono nominati i sensi spirituali, Bonaventura non si sente legato a seguire l’ordine tradizionale più comune, infatti lo modifica a seconda del contesto e – nelle pagine più importanti – inizia la sua esposizione proprio dall’anagogia.</w:t>
      </w:r>
    </w:p>
    <w:p w:rsidR="009402B3" w:rsidRDefault="009402B3" w:rsidP="001D4DAC">
      <w:pPr>
        <w:spacing w:after="0" w:line="240" w:lineRule="auto"/>
        <w:ind w:left="28"/>
        <w:jc w:val="both"/>
        <w:rPr>
          <w:rFonts w:ascii="Times New Roman" w:hAnsi="Times New Roman" w:cs="Times New Roman"/>
          <w:sz w:val="24"/>
          <w:szCs w:val="24"/>
        </w:rPr>
      </w:pPr>
      <w:r>
        <w:rPr>
          <w:rFonts w:ascii="Times New Roman" w:hAnsi="Times New Roman" w:cs="Times New Roman"/>
          <w:sz w:val="24"/>
          <w:szCs w:val="24"/>
        </w:rPr>
        <w:t xml:space="preserve">Le </w:t>
      </w:r>
      <w:r w:rsidRPr="009F4189">
        <w:rPr>
          <w:rFonts w:ascii="Times New Roman" w:hAnsi="Times New Roman" w:cs="Times New Roman"/>
          <w:i/>
          <w:iCs/>
          <w:sz w:val="24"/>
          <w:szCs w:val="24"/>
        </w:rPr>
        <w:t>collationes</w:t>
      </w:r>
      <w:r>
        <w:rPr>
          <w:rFonts w:ascii="Times New Roman" w:hAnsi="Times New Roman" w:cs="Times New Roman"/>
          <w:sz w:val="24"/>
          <w:szCs w:val="24"/>
        </w:rPr>
        <w:t xml:space="preserve"> sui sei giorni della creazione costituiscono un itinerario spirituale nel quale le visioni dell’intelligenza si elevano dal grado dell’intelligenza naturale (1° giorno) a quello della fede (2° giorno) e quindi alla visione dell’intelligenza istruita per mezzo della Scrittura (3° giorno) per concludersi al grado di contemplazione (4° giorno)</w:t>
      </w:r>
      <w:r>
        <w:rPr>
          <w:rStyle w:val="FootnoteReference"/>
          <w:rFonts w:ascii="Times New Roman" w:hAnsi="Times New Roman" w:cs="Times New Roman"/>
          <w:sz w:val="24"/>
          <w:szCs w:val="24"/>
        </w:rPr>
        <w:footnoteReference w:id="37"/>
      </w:r>
      <w:r>
        <w:rPr>
          <w:rFonts w:ascii="Times New Roman" w:hAnsi="Times New Roman" w:cs="Times New Roman"/>
          <w:sz w:val="24"/>
          <w:szCs w:val="24"/>
        </w:rPr>
        <w:t>.</w:t>
      </w:r>
    </w:p>
    <w:p w:rsidR="009402B3" w:rsidRDefault="009402B3" w:rsidP="001D4DAC">
      <w:pPr>
        <w:spacing w:after="0" w:line="240" w:lineRule="auto"/>
        <w:ind w:left="28"/>
        <w:jc w:val="both"/>
        <w:rPr>
          <w:rFonts w:ascii="Times New Roman" w:hAnsi="Times New Roman" w:cs="Times New Roman"/>
          <w:sz w:val="24"/>
          <w:szCs w:val="24"/>
        </w:rPr>
      </w:pPr>
      <w:r>
        <w:rPr>
          <w:rFonts w:ascii="Times New Roman" w:hAnsi="Times New Roman" w:cs="Times New Roman"/>
          <w:sz w:val="24"/>
          <w:szCs w:val="24"/>
        </w:rPr>
        <w:t xml:space="preserve">Ogni pagina dell’opera vuol condurre verso Cristo, chiave della creazione e unico Signore che colmerà in pienezza i desideri di bene di chi riconosce che la propria vita è un pellegrinaggio. Le </w:t>
      </w:r>
      <w:r w:rsidRPr="00583F94">
        <w:rPr>
          <w:rFonts w:ascii="Times New Roman" w:hAnsi="Times New Roman" w:cs="Times New Roman"/>
          <w:i/>
          <w:iCs/>
          <w:sz w:val="24"/>
          <w:szCs w:val="24"/>
        </w:rPr>
        <w:t>collationes</w:t>
      </w:r>
      <w:r>
        <w:rPr>
          <w:rFonts w:ascii="Times New Roman" w:hAnsi="Times New Roman" w:cs="Times New Roman"/>
          <w:sz w:val="24"/>
          <w:szCs w:val="24"/>
        </w:rPr>
        <w:t xml:space="preserve"> XIII e XIV sono tra quelle dedicate alla Scrittura sacra la quale:</w:t>
      </w:r>
    </w:p>
    <w:p w:rsidR="009402B3" w:rsidRDefault="009402B3" w:rsidP="001D4DAC">
      <w:pPr>
        <w:spacing w:after="0" w:line="240" w:lineRule="auto"/>
        <w:ind w:left="28"/>
        <w:jc w:val="both"/>
        <w:rPr>
          <w:rFonts w:ascii="Times New Roman" w:hAnsi="Times New Roman" w:cs="Times New Roman"/>
        </w:rPr>
      </w:pPr>
    </w:p>
    <w:p w:rsidR="009402B3" w:rsidRDefault="009402B3" w:rsidP="00EA4673">
      <w:pPr>
        <w:tabs>
          <w:tab w:val="left" w:pos="851"/>
        </w:tabs>
        <w:spacing w:after="0" w:line="240" w:lineRule="auto"/>
        <w:ind w:left="708"/>
        <w:jc w:val="both"/>
        <w:rPr>
          <w:rFonts w:ascii="Times New Roman" w:hAnsi="Times New Roman" w:cs="Times New Roman"/>
        </w:rPr>
      </w:pPr>
      <w:r>
        <w:rPr>
          <w:rFonts w:ascii="Times New Roman" w:hAnsi="Times New Roman" w:cs="Times New Roman"/>
        </w:rPr>
        <w:t>«</w:t>
      </w:r>
      <w:r w:rsidRPr="00EA4673">
        <w:rPr>
          <w:rFonts w:ascii="Times New Roman" w:hAnsi="Times New Roman" w:cs="Times New Roman"/>
        </w:rPr>
        <w:t xml:space="preserve">E’ stata donata all’uomo per insegnargli la via verso la salvezza, è un articolato e continuo invito alla sapienza e alla carità, quindi all’amore per Dio e per i fratelli, che costituisce l’unica vera sapienza della vita. Bonaventura prende spunto dall’ordine dei Libri biblici per sottolineare che, dopo il Libro di Qoelet, nel quale si parla della vanità, si trova il Libro del Cantico dei Cantici, nel quale è manifestata la </w:t>
      </w:r>
      <w:r w:rsidRPr="00C13B38">
        <w:rPr>
          <w:rFonts w:ascii="Times New Roman" w:hAnsi="Times New Roman" w:cs="Times New Roman"/>
          <w:i/>
          <w:iCs/>
        </w:rPr>
        <w:t>sapientia</w:t>
      </w:r>
      <w:r w:rsidRPr="00EA4673">
        <w:rPr>
          <w:rFonts w:ascii="Times New Roman" w:hAnsi="Times New Roman" w:cs="Times New Roman"/>
        </w:rPr>
        <w:t xml:space="preserve"> amorosa. Da questa formulazione: “sapienza amorosa” si può intendere che non stiamo cercando due diverse realtà, cioè la sapienza e l’amore, ma stiamo camminando verso l’unica appagante pienezza di conoscenza e amore</w:t>
      </w:r>
      <w:r>
        <w:rPr>
          <w:rFonts w:ascii="Times New Roman" w:hAnsi="Times New Roman" w:cs="Times New Roman"/>
        </w:rPr>
        <w:t>»</w:t>
      </w:r>
      <w:r>
        <w:rPr>
          <w:rStyle w:val="FootnoteReference"/>
          <w:rFonts w:ascii="Times New Roman" w:hAnsi="Times New Roman" w:cs="Times New Roman"/>
        </w:rPr>
        <w:footnoteReference w:id="38"/>
      </w:r>
      <w:r>
        <w:rPr>
          <w:rFonts w:ascii="Times New Roman" w:hAnsi="Times New Roman" w:cs="Times New Roman"/>
        </w:rPr>
        <w:t>.</w:t>
      </w:r>
    </w:p>
    <w:p w:rsidR="009402B3" w:rsidRDefault="009402B3" w:rsidP="00EA4673">
      <w:pPr>
        <w:tabs>
          <w:tab w:val="left" w:pos="851"/>
        </w:tabs>
        <w:spacing w:after="0" w:line="240" w:lineRule="auto"/>
        <w:ind w:left="708"/>
        <w:jc w:val="both"/>
        <w:rPr>
          <w:rFonts w:ascii="Times New Roman" w:hAnsi="Times New Roman" w:cs="Times New Roman"/>
          <w:sz w:val="24"/>
          <w:szCs w:val="24"/>
        </w:rPr>
      </w:pPr>
    </w:p>
    <w:p w:rsidR="009402B3" w:rsidRDefault="009402B3" w:rsidP="00EA4673">
      <w:pPr>
        <w:tabs>
          <w:tab w:val="left" w:pos="0"/>
        </w:tabs>
        <w:spacing w:after="0" w:line="240" w:lineRule="auto"/>
        <w:ind w:left="14"/>
        <w:jc w:val="both"/>
        <w:rPr>
          <w:rFonts w:ascii="Times New Roman" w:hAnsi="Times New Roman" w:cs="Times New Roman"/>
          <w:sz w:val="24"/>
          <w:szCs w:val="24"/>
        </w:rPr>
      </w:pPr>
      <w:r>
        <w:rPr>
          <w:rFonts w:ascii="Times New Roman" w:hAnsi="Times New Roman" w:cs="Times New Roman"/>
          <w:sz w:val="24"/>
          <w:szCs w:val="24"/>
        </w:rPr>
        <w:t xml:space="preserve">Questo gruppo di </w:t>
      </w:r>
      <w:r w:rsidRPr="00C13B38">
        <w:rPr>
          <w:rFonts w:ascii="Times New Roman" w:hAnsi="Times New Roman" w:cs="Times New Roman"/>
          <w:i/>
          <w:iCs/>
          <w:sz w:val="24"/>
          <w:szCs w:val="24"/>
        </w:rPr>
        <w:t>collationes</w:t>
      </w:r>
      <w:r>
        <w:rPr>
          <w:rFonts w:ascii="Times New Roman" w:hAnsi="Times New Roman" w:cs="Times New Roman"/>
          <w:sz w:val="24"/>
          <w:szCs w:val="24"/>
        </w:rPr>
        <w:t xml:space="preserve"> sulla Scrittura inizia con la presentazione dei diversi sensi scritturistici (</w:t>
      </w:r>
      <w:r w:rsidRPr="00C13B38">
        <w:rPr>
          <w:rFonts w:ascii="Times New Roman" w:hAnsi="Times New Roman" w:cs="Times New Roman"/>
          <w:i/>
          <w:iCs/>
          <w:sz w:val="24"/>
          <w:szCs w:val="24"/>
        </w:rPr>
        <w:t>coll</w:t>
      </w:r>
      <w:r>
        <w:rPr>
          <w:rFonts w:ascii="Times New Roman" w:hAnsi="Times New Roman" w:cs="Times New Roman"/>
          <w:sz w:val="24"/>
          <w:szCs w:val="24"/>
        </w:rPr>
        <w:t>. XIII) per poi parlare delle figure e dei misteri (</w:t>
      </w:r>
      <w:r w:rsidRPr="00C13B38">
        <w:rPr>
          <w:rFonts w:ascii="Times New Roman" w:hAnsi="Times New Roman" w:cs="Times New Roman"/>
          <w:i/>
          <w:iCs/>
          <w:sz w:val="24"/>
          <w:szCs w:val="24"/>
        </w:rPr>
        <w:t>coll</w:t>
      </w:r>
      <w:r>
        <w:rPr>
          <w:rFonts w:ascii="Times New Roman" w:hAnsi="Times New Roman" w:cs="Times New Roman"/>
          <w:sz w:val="24"/>
          <w:szCs w:val="24"/>
        </w:rPr>
        <w:t>. XIV; XV), dei misteri dei tempi con le loro varie corrispondenze (</w:t>
      </w:r>
      <w:r w:rsidRPr="00C13B38">
        <w:rPr>
          <w:rFonts w:ascii="Times New Roman" w:hAnsi="Times New Roman" w:cs="Times New Roman"/>
          <w:i/>
          <w:iCs/>
          <w:sz w:val="24"/>
          <w:szCs w:val="24"/>
        </w:rPr>
        <w:t>coll</w:t>
      </w:r>
      <w:r>
        <w:rPr>
          <w:rFonts w:ascii="Times New Roman" w:hAnsi="Times New Roman" w:cs="Times New Roman"/>
          <w:sz w:val="24"/>
          <w:szCs w:val="24"/>
        </w:rPr>
        <w:t>. XIV), dei frutti che nutrono intelletto e affetto (</w:t>
      </w:r>
      <w:r w:rsidRPr="00C13B38">
        <w:rPr>
          <w:rFonts w:ascii="Times New Roman" w:hAnsi="Times New Roman" w:cs="Times New Roman"/>
          <w:i/>
          <w:iCs/>
          <w:sz w:val="24"/>
          <w:szCs w:val="24"/>
        </w:rPr>
        <w:t>coll</w:t>
      </w:r>
      <w:r>
        <w:rPr>
          <w:rFonts w:ascii="Times New Roman" w:hAnsi="Times New Roman" w:cs="Times New Roman"/>
          <w:sz w:val="24"/>
          <w:szCs w:val="24"/>
        </w:rPr>
        <w:t xml:space="preserve">. XVII; </w:t>
      </w:r>
      <w:r w:rsidRPr="00C13B38">
        <w:rPr>
          <w:rFonts w:ascii="Times New Roman" w:hAnsi="Times New Roman" w:cs="Times New Roman"/>
          <w:i/>
          <w:iCs/>
          <w:sz w:val="24"/>
          <w:szCs w:val="24"/>
        </w:rPr>
        <w:t>coll</w:t>
      </w:r>
      <w:r>
        <w:rPr>
          <w:rFonts w:ascii="Times New Roman" w:hAnsi="Times New Roman" w:cs="Times New Roman"/>
          <w:sz w:val="24"/>
          <w:szCs w:val="24"/>
        </w:rPr>
        <w:t>. XVIII) e infine del metodo nello studio per giungere alla scienza, cioè della santità come via alla sapienza (</w:t>
      </w:r>
      <w:r w:rsidRPr="00C13B38">
        <w:rPr>
          <w:rFonts w:ascii="Times New Roman" w:hAnsi="Times New Roman" w:cs="Times New Roman"/>
          <w:i/>
          <w:iCs/>
          <w:sz w:val="24"/>
          <w:szCs w:val="24"/>
        </w:rPr>
        <w:t>coll</w:t>
      </w:r>
      <w:r>
        <w:rPr>
          <w:rFonts w:ascii="Times New Roman" w:hAnsi="Times New Roman" w:cs="Times New Roman"/>
          <w:sz w:val="24"/>
          <w:szCs w:val="24"/>
        </w:rPr>
        <w:t>. XIX).</w:t>
      </w:r>
    </w:p>
    <w:p w:rsidR="009402B3" w:rsidRDefault="009402B3" w:rsidP="00EA4673">
      <w:pPr>
        <w:tabs>
          <w:tab w:val="left" w:pos="0"/>
        </w:tabs>
        <w:spacing w:after="0" w:line="240" w:lineRule="auto"/>
        <w:ind w:left="14"/>
        <w:jc w:val="both"/>
        <w:rPr>
          <w:rFonts w:ascii="Times New Roman" w:hAnsi="Times New Roman" w:cs="Times New Roman"/>
          <w:sz w:val="24"/>
          <w:szCs w:val="24"/>
        </w:rPr>
      </w:pPr>
      <w:r>
        <w:rPr>
          <w:rFonts w:ascii="Times New Roman" w:hAnsi="Times New Roman" w:cs="Times New Roman"/>
          <w:sz w:val="24"/>
          <w:szCs w:val="24"/>
        </w:rPr>
        <w:t xml:space="preserve">Vediamo prima, quindi, i riferimenti all’anagogia in questo gruppo di </w:t>
      </w:r>
      <w:r w:rsidRPr="00293AE9">
        <w:rPr>
          <w:rFonts w:ascii="Times New Roman" w:hAnsi="Times New Roman" w:cs="Times New Roman"/>
          <w:i/>
          <w:iCs/>
          <w:sz w:val="24"/>
          <w:szCs w:val="24"/>
        </w:rPr>
        <w:t>collationes</w:t>
      </w:r>
      <w:r>
        <w:rPr>
          <w:rFonts w:ascii="Times New Roman" w:hAnsi="Times New Roman" w:cs="Times New Roman"/>
          <w:sz w:val="24"/>
          <w:szCs w:val="24"/>
        </w:rPr>
        <w:t>, per poi completare il nostro percorso con gli altri riferimenti al quarto senso spirituale presenti nell’opera.</w:t>
      </w:r>
    </w:p>
    <w:p w:rsidR="009402B3" w:rsidRDefault="009402B3" w:rsidP="00EA4673">
      <w:pPr>
        <w:tabs>
          <w:tab w:val="left" w:pos="0"/>
        </w:tabs>
        <w:spacing w:after="0" w:line="240" w:lineRule="auto"/>
        <w:ind w:left="14"/>
        <w:jc w:val="both"/>
        <w:rPr>
          <w:rFonts w:ascii="Times New Roman" w:hAnsi="Times New Roman" w:cs="Times New Roman"/>
          <w:sz w:val="24"/>
          <w:szCs w:val="24"/>
        </w:rPr>
      </w:pPr>
      <w:r>
        <w:rPr>
          <w:rFonts w:ascii="Times New Roman" w:hAnsi="Times New Roman" w:cs="Times New Roman"/>
          <w:sz w:val="24"/>
          <w:szCs w:val="24"/>
        </w:rPr>
        <w:t xml:space="preserve">La visione della sacra Scrittura non si contrappone alle precedenti (intelligenza naturale e fede) ma va oltre, proseguendo il cammino e giungendo ad un grado più nobile. Nella </w:t>
      </w:r>
      <w:r w:rsidRPr="00DC4BFC">
        <w:rPr>
          <w:rFonts w:ascii="Times New Roman" w:hAnsi="Times New Roman" w:cs="Times New Roman"/>
          <w:i/>
          <w:iCs/>
          <w:sz w:val="24"/>
          <w:szCs w:val="24"/>
        </w:rPr>
        <w:t>collatio</w:t>
      </w:r>
      <w:r>
        <w:rPr>
          <w:rFonts w:ascii="Times New Roman" w:hAnsi="Times New Roman" w:cs="Times New Roman"/>
          <w:sz w:val="24"/>
          <w:szCs w:val="24"/>
        </w:rPr>
        <w:t xml:space="preserve"> XIII si esaminano i sensi della Scrittura, rappresentati – nel paragone biblico con il terzo giorno della creazione – dalla “raccolta delle acque” (cf. Gen 1,9). La Scrittura è vasta e profonda come un mare in cui sono raccolte tutte le acque, solo alla fine dei tempi sarà possibile la comprensione piena (cf. </w:t>
      </w:r>
      <w:r w:rsidRPr="00DC4BFC">
        <w:rPr>
          <w:rFonts w:ascii="Times New Roman" w:hAnsi="Times New Roman" w:cs="Times New Roman"/>
          <w:i/>
          <w:iCs/>
          <w:sz w:val="24"/>
          <w:szCs w:val="24"/>
        </w:rPr>
        <w:t>coll</w:t>
      </w:r>
      <w:r>
        <w:rPr>
          <w:rFonts w:ascii="Times New Roman" w:hAnsi="Times New Roman" w:cs="Times New Roman"/>
          <w:sz w:val="24"/>
          <w:szCs w:val="24"/>
        </w:rPr>
        <w:t>. XIII, 7). Un’immagine biblica che si riferisce alla pluralità dei sensi è quella descritta dal profeta Ezechiele, là dove parla delle ruote del carro del Signore (cf. Ez 1,16). Come osservava Gregorio Magno, le ruote presentano quattro aspetti che sono le quattro intelligenze: letterale, allegorica, morale e anagogica (</w:t>
      </w:r>
      <w:r w:rsidRPr="00DC4BFC">
        <w:rPr>
          <w:rFonts w:ascii="Times New Roman" w:hAnsi="Times New Roman" w:cs="Times New Roman"/>
          <w:i/>
          <w:iCs/>
          <w:sz w:val="24"/>
          <w:szCs w:val="24"/>
        </w:rPr>
        <w:t>coll</w:t>
      </w:r>
      <w:r>
        <w:rPr>
          <w:rFonts w:ascii="Times New Roman" w:hAnsi="Times New Roman" w:cs="Times New Roman"/>
          <w:sz w:val="24"/>
          <w:szCs w:val="24"/>
        </w:rPr>
        <w:t>. XIII, 9). La Scrittura, diversamente dalle scienze, parla con voce multiforme poiché al Creatore sono da far risalire sia le anime sia le parole che derivano dall’anima come pure le cose delle quali si parla</w:t>
      </w:r>
      <w:r>
        <w:rPr>
          <w:rStyle w:val="FootnoteReference"/>
          <w:rFonts w:ascii="Times New Roman" w:hAnsi="Times New Roman" w:cs="Times New Roman"/>
          <w:sz w:val="24"/>
          <w:szCs w:val="24"/>
        </w:rPr>
        <w:footnoteReference w:id="39"/>
      </w:r>
      <w:r>
        <w:rPr>
          <w:rFonts w:ascii="Times New Roman" w:hAnsi="Times New Roman" w:cs="Times New Roman"/>
          <w:sz w:val="24"/>
          <w:szCs w:val="24"/>
        </w:rPr>
        <w:t>.</w:t>
      </w:r>
    </w:p>
    <w:p w:rsidR="009402B3" w:rsidRDefault="009402B3" w:rsidP="00EA4673">
      <w:pPr>
        <w:tabs>
          <w:tab w:val="left" w:pos="0"/>
        </w:tabs>
        <w:spacing w:after="0" w:line="240" w:lineRule="auto"/>
        <w:ind w:left="14"/>
        <w:jc w:val="both"/>
        <w:rPr>
          <w:rFonts w:ascii="Times New Roman" w:hAnsi="Times New Roman" w:cs="Times New Roman"/>
          <w:sz w:val="24"/>
          <w:szCs w:val="24"/>
        </w:rPr>
      </w:pPr>
      <w:r>
        <w:rPr>
          <w:rFonts w:ascii="Times New Roman" w:hAnsi="Times New Roman" w:cs="Times New Roman"/>
          <w:sz w:val="24"/>
          <w:szCs w:val="24"/>
        </w:rPr>
        <w:t>Al n. 11 troviamo la prima esposizione completa dei diversi sensi:</w:t>
      </w:r>
    </w:p>
    <w:p w:rsidR="009402B3" w:rsidRDefault="009402B3" w:rsidP="00EA4673">
      <w:pPr>
        <w:tabs>
          <w:tab w:val="left" w:pos="0"/>
        </w:tabs>
        <w:spacing w:after="0" w:line="240" w:lineRule="auto"/>
        <w:ind w:left="14"/>
        <w:jc w:val="both"/>
        <w:rPr>
          <w:rFonts w:ascii="Times New Roman" w:hAnsi="Times New Roman" w:cs="Times New Roman"/>
        </w:rPr>
      </w:pPr>
    </w:p>
    <w:p w:rsidR="009402B3" w:rsidRDefault="009402B3" w:rsidP="00DC4BFC">
      <w:pPr>
        <w:tabs>
          <w:tab w:val="left" w:pos="0"/>
          <w:tab w:val="left" w:pos="851"/>
        </w:tabs>
        <w:spacing w:after="0" w:line="240" w:lineRule="auto"/>
        <w:ind w:left="708"/>
        <w:jc w:val="both"/>
        <w:rPr>
          <w:rFonts w:ascii="Times New Roman" w:hAnsi="Times New Roman" w:cs="Times New Roman"/>
        </w:rPr>
      </w:pPr>
      <w:r>
        <w:rPr>
          <w:rFonts w:ascii="Times New Roman" w:hAnsi="Times New Roman" w:cs="Times New Roman"/>
        </w:rPr>
        <w:t>«Dunque, il primo è il senso letterale; e poiché le cose hanno un loro significato, vi sono di conseguenza tre sensi. Dio infatti si manifesta in ogni creatura in tre modi: secondo sostanza, virtù e operazione. E ogni creatura rappresenta Dio, che è Trinità, e la modalità in cui si giunge a lui. E poiché si perviene a Dio per la fede, la speranza e la carità, di conseguenza ogni creatura insinua cosa bisogna credere, cosa bisogna aspettare e cosa bisogna fare. E da questo ne deriva una triplice intelligenza spirituale: quella allegorica riguardo a ciò che è da credere, quella anagogica riguardo a ciò che è da aspettare, e quella tropologica riguardo a ciò che si deve fare, poiché la carità fa agire. L’intelligenza letterale è come la faccia naturale, cioè dell’uomo; le altre sono facce mistiche: nel leone, che possiede la magnificenza, si intende l’allegoria, cioè quello che è da credere; nella faccia del bue, il quale traina l’aratro e solca la terra per farla fruttificare, si intende la tropologia o senso morale; nell’aquila, la quale vola in alto, si intende l’anagogia. La prima faccia, cioè quella letterale, è aperta; la seconda, quella della magnificenza, è elevata il alto; la terza, la tropologica, è fruttuosa; la quarta, quasi con occhi sbarrati, fissa il sole. Queste quattro facce sono quasi una visione del mare a causa della primitiva origine, della profonda altitudine e della sovrabbondante multiformità delle intelligenze spirituali. E come, poi, vi sono tre Persone in una essenza, così anche vi sono tre intelligenze in un’unica superficie della lettera»</w:t>
      </w:r>
      <w:r>
        <w:rPr>
          <w:rStyle w:val="FootnoteReference"/>
          <w:rFonts w:ascii="Times New Roman" w:hAnsi="Times New Roman" w:cs="Times New Roman"/>
        </w:rPr>
        <w:footnoteReference w:id="40"/>
      </w:r>
      <w:r>
        <w:rPr>
          <w:rFonts w:ascii="Times New Roman" w:hAnsi="Times New Roman" w:cs="Times New Roman"/>
        </w:rPr>
        <w:t>.</w:t>
      </w:r>
    </w:p>
    <w:p w:rsidR="009402B3" w:rsidRDefault="009402B3" w:rsidP="00DC4BFC">
      <w:pPr>
        <w:tabs>
          <w:tab w:val="left" w:pos="0"/>
          <w:tab w:val="left" w:pos="851"/>
        </w:tabs>
        <w:spacing w:after="0" w:line="240" w:lineRule="auto"/>
        <w:ind w:left="708"/>
        <w:jc w:val="both"/>
        <w:rPr>
          <w:rFonts w:ascii="Times New Roman" w:hAnsi="Times New Roman" w:cs="Times New Roman"/>
          <w:sz w:val="24"/>
          <w:szCs w:val="24"/>
        </w:rPr>
      </w:pPr>
    </w:p>
    <w:p w:rsidR="009402B3" w:rsidRDefault="009402B3" w:rsidP="00BE1DE6">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 interessante notare come, in questo numero, a un certo punto (e precisamente a partire dall’elencazione secondo gli animali simbolici) Bonaventura modifichi l’ordine degli ultimi due sensi riconducendo l’anagogia al quarto posto e concludendo con la definizione dell’anagogia come la visione </w:t>
      </w:r>
      <w:r>
        <w:rPr>
          <w:rFonts w:ascii="Times New Roman" w:hAnsi="Times New Roman" w:cs="Times New Roman"/>
          <w:i/>
          <w:iCs/>
          <w:sz w:val="24"/>
          <w:szCs w:val="24"/>
        </w:rPr>
        <w:t>quasi irreverberatis oculis solem intuetur</w:t>
      </w:r>
      <w:r>
        <w:rPr>
          <w:rFonts w:ascii="Times New Roman" w:hAnsi="Times New Roman" w:cs="Times New Roman"/>
          <w:sz w:val="24"/>
          <w:szCs w:val="24"/>
        </w:rPr>
        <w:t>.</w:t>
      </w:r>
    </w:p>
    <w:p w:rsidR="009402B3" w:rsidRDefault="009402B3" w:rsidP="00BE1DE6">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Il grado anagogico si riferisce alla virtù della speranza</w:t>
      </w:r>
      <w:r>
        <w:rPr>
          <w:rStyle w:val="FootnoteReference"/>
          <w:rFonts w:ascii="Times New Roman" w:hAnsi="Times New Roman" w:cs="Times New Roman"/>
          <w:sz w:val="24"/>
          <w:szCs w:val="24"/>
        </w:rPr>
        <w:footnoteReference w:id="41"/>
      </w:r>
      <w:r>
        <w:rPr>
          <w:rFonts w:ascii="Times New Roman" w:hAnsi="Times New Roman" w:cs="Times New Roman"/>
          <w:sz w:val="24"/>
          <w:szCs w:val="24"/>
        </w:rPr>
        <w:t xml:space="preserve"> </w:t>
      </w:r>
      <w:r w:rsidRPr="00FA568B">
        <w:rPr>
          <w:rFonts w:ascii="Times New Roman" w:hAnsi="Times New Roman" w:cs="Times New Roman"/>
          <w:sz w:val="24"/>
          <w:szCs w:val="24"/>
        </w:rPr>
        <w:t>che indica cosa si deve aspettare</w:t>
      </w:r>
      <w:r>
        <w:rPr>
          <w:rFonts w:ascii="Times New Roman" w:hAnsi="Times New Roman" w:cs="Times New Roman"/>
          <w:sz w:val="24"/>
          <w:szCs w:val="24"/>
        </w:rPr>
        <w:t>, è lo sguardo luminoso e acuto che tende al futuro compimento definitivo delle promesse di Dio.</w:t>
      </w:r>
    </w:p>
    <w:p w:rsidR="009402B3" w:rsidRDefault="009402B3" w:rsidP="00BE1DE6">
      <w:pPr>
        <w:tabs>
          <w:tab w:val="left" w:pos="0"/>
        </w:tabs>
        <w:spacing w:after="0" w:line="240" w:lineRule="auto"/>
        <w:jc w:val="both"/>
        <w:rPr>
          <w:rFonts w:ascii="Times New Roman" w:hAnsi="Times New Roman" w:cs="Times New Roman"/>
          <w:sz w:val="24"/>
          <w:szCs w:val="24"/>
        </w:rPr>
      </w:pPr>
    </w:p>
    <w:p w:rsidR="009402B3" w:rsidRDefault="009402B3" w:rsidP="00DD6927">
      <w:pPr>
        <w:tabs>
          <w:tab w:val="left" w:pos="0"/>
        </w:tabs>
        <w:spacing w:after="0" w:line="240" w:lineRule="auto"/>
        <w:jc w:val="center"/>
        <w:rPr>
          <w:rFonts w:ascii="Times New Roman" w:hAnsi="Times New Roman" w:cs="Times New Roman"/>
          <w:sz w:val="24"/>
          <w:szCs w:val="24"/>
        </w:rPr>
      </w:pPr>
      <w:r w:rsidRPr="00342011">
        <w:rPr>
          <w:rFonts w:ascii="Times New Roman" w:hAnsi="Times New Roman" w:cs="Times New Roman"/>
          <w:noProof/>
          <w:sz w:val="24"/>
          <w:szCs w:val="24"/>
          <w:lang w:eastAsia="it-IT"/>
        </w:rPr>
        <w:pict>
          <v:shape id="Immagine 9" o:spid="_x0000_i1033" type="#_x0000_t75" style="width:474.75pt;height:336pt;visibility:visible" o:bordertopcolor="black" o:borderleftcolor="black" o:borderbottomcolor="black" o:borderrightcolor="black">
            <v:imagedata r:id="rId15" o:title=""/>
            <w10:bordertop type="single" width="2"/>
            <w10:borderleft type="single" width="2"/>
            <w10:borderbottom type="single" width="2"/>
            <w10:borderright type="single" width="2"/>
          </v:shape>
        </w:pict>
      </w:r>
    </w:p>
    <w:p w:rsidR="009402B3" w:rsidRDefault="009402B3" w:rsidP="00BE1DE6">
      <w:pPr>
        <w:tabs>
          <w:tab w:val="left" w:pos="0"/>
        </w:tabs>
        <w:spacing w:after="0" w:line="240" w:lineRule="auto"/>
        <w:jc w:val="both"/>
        <w:rPr>
          <w:rFonts w:ascii="Times New Roman" w:hAnsi="Times New Roman" w:cs="Times New Roman"/>
          <w:sz w:val="24"/>
          <w:szCs w:val="24"/>
        </w:rPr>
      </w:pPr>
    </w:p>
    <w:p w:rsidR="009402B3" w:rsidRDefault="009402B3" w:rsidP="00BE1DE6">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Al n. 15 Bonaventura chiama in causa, dopo la visione di Ezechiele, le visioni di Giovanni nell’Apocalisse: l’ordine proposto da Ezechiele è detto </w:t>
      </w:r>
      <w:r>
        <w:rPr>
          <w:rFonts w:ascii="Times New Roman" w:hAnsi="Times New Roman" w:cs="Times New Roman"/>
          <w:i/>
          <w:iCs/>
          <w:sz w:val="24"/>
          <w:szCs w:val="24"/>
        </w:rPr>
        <w:t>ordo rectus in se</w:t>
      </w:r>
      <w:r>
        <w:rPr>
          <w:rFonts w:ascii="Times New Roman" w:hAnsi="Times New Roman" w:cs="Times New Roman"/>
          <w:sz w:val="24"/>
          <w:szCs w:val="24"/>
        </w:rPr>
        <w:t xml:space="preserve">, quello giovanneo è invece quello per il quale noi </w:t>
      </w:r>
      <w:r>
        <w:rPr>
          <w:rFonts w:ascii="Times New Roman" w:hAnsi="Times New Roman" w:cs="Times New Roman"/>
          <w:i/>
          <w:iCs/>
          <w:sz w:val="24"/>
          <w:szCs w:val="24"/>
        </w:rPr>
        <w:t>debemus secondum naturam ferre oculum ad aeterna, quae principalia sunt</w:t>
      </w:r>
      <w:r>
        <w:rPr>
          <w:rStyle w:val="FootnoteReference"/>
          <w:rFonts w:ascii="Times New Roman" w:hAnsi="Times New Roman" w:cs="Times New Roman"/>
          <w:i/>
          <w:iCs/>
          <w:sz w:val="24"/>
          <w:szCs w:val="24"/>
        </w:rPr>
        <w:footnoteReference w:id="42"/>
      </w:r>
      <w:r>
        <w:rPr>
          <w:rFonts w:ascii="Times New Roman" w:hAnsi="Times New Roman" w:cs="Times New Roman"/>
          <w:i/>
          <w:iCs/>
          <w:sz w:val="24"/>
          <w:szCs w:val="24"/>
        </w:rPr>
        <w:t>.</w:t>
      </w:r>
      <w:r>
        <w:rPr>
          <w:rFonts w:ascii="Times New Roman" w:hAnsi="Times New Roman" w:cs="Times New Roman"/>
          <w:sz w:val="24"/>
          <w:szCs w:val="24"/>
        </w:rPr>
        <w:t xml:space="preserve"> E motiva la sua scelta nei passi successivi. Nei numeri seguenti, 16 e 18, troviamo il seguente schema:</w:t>
      </w:r>
    </w:p>
    <w:p w:rsidR="009402B3" w:rsidRDefault="009402B3" w:rsidP="00BE1DE6">
      <w:pPr>
        <w:tabs>
          <w:tab w:val="left" w:pos="0"/>
        </w:tabs>
        <w:spacing w:after="0" w:line="240" w:lineRule="auto"/>
        <w:jc w:val="both"/>
        <w:rPr>
          <w:rFonts w:ascii="Times New Roman" w:hAnsi="Times New Roman" w:cs="Times New Roman"/>
          <w:sz w:val="24"/>
          <w:szCs w:val="24"/>
        </w:rPr>
      </w:pPr>
    </w:p>
    <w:p w:rsidR="009402B3" w:rsidRDefault="009402B3" w:rsidP="00833BD5">
      <w:pPr>
        <w:tabs>
          <w:tab w:val="left" w:pos="0"/>
        </w:tabs>
        <w:spacing w:after="0" w:line="240" w:lineRule="auto"/>
        <w:jc w:val="center"/>
        <w:rPr>
          <w:rFonts w:ascii="Times New Roman" w:hAnsi="Times New Roman" w:cs="Times New Roman"/>
          <w:sz w:val="24"/>
          <w:szCs w:val="24"/>
        </w:rPr>
      </w:pPr>
      <w:r w:rsidRPr="00342011">
        <w:rPr>
          <w:rFonts w:ascii="Times New Roman" w:hAnsi="Times New Roman" w:cs="Times New Roman"/>
          <w:noProof/>
          <w:sz w:val="24"/>
          <w:szCs w:val="24"/>
          <w:lang w:eastAsia="it-IT"/>
        </w:rPr>
        <w:pict>
          <v:shape id="Immagine 12" o:spid="_x0000_i1034" type="#_x0000_t75" style="width:481.5pt;height:384pt;visibility:visible" o:bordertopcolor="black" o:borderleftcolor="black" o:borderbottomcolor="black" o:borderrightcolor="black">
            <v:imagedata r:id="rId16" o:title=""/>
            <w10:bordertop type="single" width="2"/>
            <w10:borderleft type="single" width="2"/>
            <w10:borderbottom type="single" width="2"/>
            <w10:borderright type="single" width="2"/>
          </v:shape>
        </w:pict>
      </w:r>
    </w:p>
    <w:p w:rsidR="009402B3" w:rsidRDefault="009402B3" w:rsidP="00BE1DE6">
      <w:pPr>
        <w:tabs>
          <w:tab w:val="left" w:pos="0"/>
        </w:tabs>
        <w:spacing w:after="0" w:line="240" w:lineRule="auto"/>
        <w:jc w:val="both"/>
        <w:rPr>
          <w:rFonts w:ascii="Times New Roman" w:hAnsi="Times New Roman" w:cs="Times New Roman"/>
          <w:sz w:val="24"/>
          <w:szCs w:val="24"/>
        </w:rPr>
      </w:pPr>
    </w:p>
    <w:p w:rsidR="009402B3" w:rsidRDefault="009402B3" w:rsidP="00BE1DE6">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L’espressione per cui l’anagogia, che indica le cose eterne, è la prima a cui si deve porre attenzione ci permette di concludere che Bonaventura non offre mai a caso l’ordine dei vari sensi spirituali, anzi, proprio dove ne parla non di passaggio ma come tema specifico della conferenza, ecco che pone per prima l’anagogia.</w:t>
      </w:r>
    </w:p>
    <w:p w:rsidR="009402B3" w:rsidRDefault="009402B3" w:rsidP="00BE1DE6">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 ultime pagine della </w:t>
      </w:r>
      <w:r w:rsidRPr="00EE6592">
        <w:rPr>
          <w:rFonts w:ascii="Times New Roman" w:hAnsi="Times New Roman" w:cs="Times New Roman"/>
          <w:i/>
          <w:iCs/>
          <w:sz w:val="24"/>
          <w:szCs w:val="24"/>
        </w:rPr>
        <w:t>collatio</w:t>
      </w:r>
      <w:r>
        <w:rPr>
          <w:rFonts w:ascii="Times New Roman" w:hAnsi="Times New Roman" w:cs="Times New Roman"/>
          <w:sz w:val="24"/>
          <w:szCs w:val="24"/>
        </w:rPr>
        <w:t xml:space="preserve"> XIII sono dedicate all’enunciazione del quadruplice aspetto di ogni senso, con uno schema per il quale si prende ad esempio di interpretazione della Scrittura il sole, per cui abbiamo ai nn. 22-33 il seguente schema:</w:t>
      </w:r>
    </w:p>
    <w:p w:rsidR="009402B3" w:rsidRDefault="009402B3" w:rsidP="00BE1DE6">
      <w:pPr>
        <w:tabs>
          <w:tab w:val="left" w:pos="0"/>
        </w:tabs>
        <w:spacing w:after="0" w:line="240" w:lineRule="auto"/>
        <w:jc w:val="both"/>
        <w:rPr>
          <w:rFonts w:ascii="Times New Roman" w:hAnsi="Times New Roman" w:cs="Times New Roman"/>
          <w:sz w:val="24"/>
          <w:szCs w:val="24"/>
        </w:rPr>
      </w:pPr>
    </w:p>
    <w:p w:rsidR="009402B3" w:rsidRDefault="009402B3" w:rsidP="00067FE4">
      <w:pPr>
        <w:tabs>
          <w:tab w:val="left" w:pos="0"/>
        </w:tabs>
        <w:spacing w:after="0" w:line="240" w:lineRule="auto"/>
        <w:jc w:val="center"/>
        <w:rPr>
          <w:rFonts w:ascii="Times New Roman" w:hAnsi="Times New Roman" w:cs="Times New Roman"/>
          <w:sz w:val="24"/>
          <w:szCs w:val="24"/>
        </w:rPr>
      </w:pPr>
      <w:r w:rsidRPr="00342011">
        <w:rPr>
          <w:rFonts w:ascii="Times New Roman" w:hAnsi="Times New Roman" w:cs="Times New Roman"/>
          <w:noProof/>
          <w:sz w:val="24"/>
          <w:szCs w:val="24"/>
          <w:lang w:eastAsia="it-IT"/>
        </w:rPr>
        <w:pict>
          <v:shape id="Immagine 13" o:spid="_x0000_i1035" type="#_x0000_t75" style="width:501pt;height:342.75pt;visibility:visible" o:bordertopcolor="black" o:borderleftcolor="black" o:borderbottomcolor="black" o:borderrightcolor="black">
            <v:imagedata r:id="rId17" o:title=""/>
            <w10:bordertop type="single" width="2"/>
            <w10:borderleft type="single" width="2"/>
            <w10:borderbottom type="single" width="2"/>
            <w10:borderright type="single" width="2"/>
          </v:shape>
        </w:pict>
      </w:r>
    </w:p>
    <w:p w:rsidR="009402B3" w:rsidRDefault="009402B3" w:rsidP="00BE1DE6">
      <w:pPr>
        <w:tabs>
          <w:tab w:val="left" w:pos="0"/>
        </w:tabs>
        <w:spacing w:after="0" w:line="240" w:lineRule="auto"/>
        <w:jc w:val="both"/>
        <w:rPr>
          <w:rFonts w:ascii="Times New Roman" w:hAnsi="Times New Roman" w:cs="Times New Roman"/>
          <w:sz w:val="24"/>
          <w:szCs w:val="24"/>
        </w:rPr>
      </w:pPr>
    </w:p>
    <w:p w:rsidR="009402B3" w:rsidRDefault="009402B3" w:rsidP="00BE1DE6">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Ogni elemento è accompagnato da una citazione dalla Scrittura e questo schema è uno dei più completi delle </w:t>
      </w:r>
      <w:r w:rsidRPr="00EE6592">
        <w:rPr>
          <w:rFonts w:ascii="Times New Roman" w:hAnsi="Times New Roman" w:cs="Times New Roman"/>
          <w:i/>
          <w:iCs/>
          <w:sz w:val="24"/>
          <w:szCs w:val="24"/>
        </w:rPr>
        <w:t>Collationes in Hexaëmeron</w:t>
      </w:r>
      <w:r>
        <w:rPr>
          <w:rFonts w:ascii="Times New Roman" w:hAnsi="Times New Roman" w:cs="Times New Roman"/>
          <w:sz w:val="24"/>
          <w:szCs w:val="24"/>
        </w:rPr>
        <w:t>, opera che parla delle diverse “illuminazioni” per cui il sole è simbolo centrale.</w:t>
      </w:r>
    </w:p>
    <w:p w:rsidR="009402B3" w:rsidRDefault="009402B3" w:rsidP="00BE1DE6">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Oltre che in questa ricca </w:t>
      </w:r>
      <w:r w:rsidRPr="00EE6592">
        <w:rPr>
          <w:rFonts w:ascii="Times New Roman" w:hAnsi="Times New Roman" w:cs="Times New Roman"/>
          <w:i/>
          <w:iCs/>
          <w:sz w:val="24"/>
          <w:szCs w:val="24"/>
        </w:rPr>
        <w:t>collatio</w:t>
      </w:r>
      <w:r>
        <w:rPr>
          <w:rFonts w:ascii="Times New Roman" w:hAnsi="Times New Roman" w:cs="Times New Roman"/>
          <w:sz w:val="24"/>
          <w:szCs w:val="24"/>
        </w:rPr>
        <w:t xml:space="preserve"> XIII, il nostro tema viene ripreso nuovamente nella </w:t>
      </w:r>
      <w:r w:rsidRPr="00EE6592">
        <w:rPr>
          <w:rFonts w:ascii="Times New Roman" w:hAnsi="Times New Roman" w:cs="Times New Roman"/>
          <w:i/>
          <w:iCs/>
          <w:sz w:val="24"/>
          <w:szCs w:val="24"/>
        </w:rPr>
        <w:t>collatio</w:t>
      </w:r>
      <w:r>
        <w:rPr>
          <w:rFonts w:ascii="Times New Roman" w:hAnsi="Times New Roman" w:cs="Times New Roman"/>
          <w:sz w:val="24"/>
          <w:szCs w:val="24"/>
        </w:rPr>
        <w:t xml:space="preserve"> successiva, prima con un bel paragone circa la fertilità della Scrittura - per cui l’abbondanza dell’intelligenza allegorica è significata dal frumento, quella dell’intelligenza morale dal vino e quella dell’intelligenza anagogica dall’olio – quindi brevemente al n. 16 della stessa </w:t>
      </w:r>
      <w:r w:rsidRPr="00EE6592">
        <w:rPr>
          <w:rFonts w:ascii="Times New Roman" w:hAnsi="Times New Roman" w:cs="Times New Roman"/>
          <w:i/>
          <w:iCs/>
          <w:sz w:val="24"/>
          <w:szCs w:val="24"/>
        </w:rPr>
        <w:t>collatio</w:t>
      </w:r>
      <w:r>
        <w:rPr>
          <w:rFonts w:ascii="Times New Roman" w:hAnsi="Times New Roman" w:cs="Times New Roman"/>
          <w:sz w:val="24"/>
          <w:szCs w:val="24"/>
        </w:rPr>
        <w:t xml:space="preserve"> XIV</w:t>
      </w:r>
      <w:r>
        <w:rPr>
          <w:rStyle w:val="FootnoteReference"/>
          <w:rFonts w:ascii="Times New Roman" w:hAnsi="Times New Roman" w:cs="Times New Roman"/>
          <w:sz w:val="24"/>
          <w:szCs w:val="24"/>
        </w:rPr>
        <w:footnoteReference w:id="43"/>
      </w:r>
      <w:r>
        <w:rPr>
          <w:rFonts w:ascii="Times New Roman" w:hAnsi="Times New Roman" w:cs="Times New Roman"/>
          <w:sz w:val="24"/>
          <w:szCs w:val="24"/>
        </w:rPr>
        <w:t>.</w:t>
      </w:r>
    </w:p>
    <w:p w:rsidR="009402B3" w:rsidRDefault="009402B3" w:rsidP="00BE1DE6">
      <w:pPr>
        <w:tabs>
          <w:tab w:val="left" w:pos="0"/>
        </w:tabs>
        <w:spacing w:after="0" w:line="240" w:lineRule="auto"/>
        <w:jc w:val="both"/>
        <w:rPr>
          <w:rFonts w:ascii="Times New Roman" w:hAnsi="Times New Roman" w:cs="Times New Roman"/>
          <w:sz w:val="24"/>
          <w:szCs w:val="24"/>
        </w:rPr>
      </w:pPr>
    </w:p>
    <w:p w:rsidR="009402B3" w:rsidRDefault="009402B3" w:rsidP="00BE1DE6">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Infine, nella </w:t>
      </w:r>
      <w:r w:rsidRPr="000320E6">
        <w:rPr>
          <w:rFonts w:ascii="Times New Roman" w:hAnsi="Times New Roman" w:cs="Times New Roman"/>
          <w:i/>
          <w:iCs/>
          <w:sz w:val="24"/>
          <w:szCs w:val="24"/>
        </w:rPr>
        <w:t>collatio</w:t>
      </w:r>
      <w:r>
        <w:rPr>
          <w:rFonts w:ascii="Times New Roman" w:hAnsi="Times New Roman" w:cs="Times New Roman"/>
          <w:sz w:val="24"/>
          <w:szCs w:val="24"/>
        </w:rPr>
        <w:t xml:space="preserve"> XX, che è la prima del gruppo del “quarto giorno” in cui si tratta dell’intelligenza sollevata per mezzo della contemplazione, nel presentare la Chiesa militante (paragonata alla luna), Bonaventura cita un passo di Dionigi Pseudo-Areopagita in cui si dice che il raggio di luce divina per noi risplende sempre </w:t>
      </w:r>
      <w:r>
        <w:rPr>
          <w:rFonts w:ascii="Times New Roman" w:hAnsi="Times New Roman" w:cs="Times New Roman"/>
          <w:i/>
          <w:iCs/>
          <w:sz w:val="24"/>
          <w:szCs w:val="24"/>
        </w:rPr>
        <w:t>anagogice circumvelatum</w:t>
      </w:r>
      <w:r>
        <w:rPr>
          <w:rStyle w:val="FootnoteReference"/>
          <w:rFonts w:ascii="Times New Roman" w:hAnsi="Times New Roman" w:cs="Times New Roman"/>
          <w:i/>
          <w:iCs/>
          <w:sz w:val="24"/>
          <w:szCs w:val="24"/>
        </w:rPr>
        <w:footnoteReference w:id="44"/>
      </w:r>
      <w:r>
        <w:rPr>
          <w:rFonts w:ascii="Times New Roman" w:hAnsi="Times New Roman" w:cs="Times New Roman"/>
          <w:i/>
          <w:iCs/>
          <w:sz w:val="24"/>
          <w:szCs w:val="24"/>
        </w:rPr>
        <w:t>.</w:t>
      </w:r>
    </w:p>
    <w:p w:rsidR="009402B3" w:rsidRDefault="009402B3" w:rsidP="00BE1DE6">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Le figure e i sacramenti della Chiesa permettono alla luce del Sole-Dio di giungere a noi come la Luna-Chiesa riflette la luce solare. Così è possibile guardare chi ci mostra le cose fatte (allegoria), le cose da fare (tropologia) e quelle che sono nell’eternità (anagogia). E, conclude il Dottore serafico, rivolgendosi direttamente al suo uditorio:</w:t>
      </w:r>
    </w:p>
    <w:p w:rsidR="009402B3" w:rsidRDefault="009402B3" w:rsidP="00BE1DE6">
      <w:pPr>
        <w:tabs>
          <w:tab w:val="left" w:pos="0"/>
        </w:tabs>
        <w:spacing w:after="0" w:line="240" w:lineRule="auto"/>
        <w:jc w:val="both"/>
        <w:rPr>
          <w:rFonts w:ascii="Times New Roman" w:hAnsi="Times New Roman" w:cs="Times New Roman"/>
          <w:sz w:val="24"/>
          <w:szCs w:val="24"/>
        </w:rPr>
      </w:pPr>
    </w:p>
    <w:p w:rsidR="009402B3" w:rsidRPr="00C33DDD" w:rsidRDefault="009402B3" w:rsidP="00C33DDD">
      <w:pPr>
        <w:tabs>
          <w:tab w:val="left" w:pos="868"/>
        </w:tabs>
        <w:spacing w:after="0" w:line="240" w:lineRule="auto"/>
        <w:ind w:left="868"/>
        <w:jc w:val="both"/>
        <w:rPr>
          <w:rFonts w:ascii="Times New Roman" w:hAnsi="Times New Roman" w:cs="Times New Roman"/>
        </w:rPr>
      </w:pPr>
      <w:r>
        <w:rPr>
          <w:rFonts w:ascii="Times New Roman" w:hAnsi="Times New Roman" w:cs="Times New Roman"/>
        </w:rPr>
        <w:t>«Perciò le figure non sono ancora spiegate; ma quando la luna sarà piena, allora ci sarà l’apertura della Scrittura, il libro verrà aperto e saranno dissuggellati i sette sigilli che ancora non sono aperti. Credetemi, allora vedremo come in un plenilunio, quando il nostro leone della tribù di Giuda sorgerà e aprirà il libro, quando saranno terminate le sofferenze di Cristo che ora patisce il corpo di Cristo»</w:t>
      </w:r>
      <w:r>
        <w:rPr>
          <w:rStyle w:val="FootnoteReference"/>
          <w:rFonts w:ascii="Times New Roman" w:hAnsi="Times New Roman" w:cs="Times New Roman"/>
        </w:rPr>
        <w:footnoteReference w:id="45"/>
      </w:r>
    </w:p>
    <w:p w:rsidR="009402B3" w:rsidRDefault="009402B3" w:rsidP="00BE1DE6">
      <w:pPr>
        <w:tabs>
          <w:tab w:val="left" w:pos="0"/>
        </w:tabs>
        <w:spacing w:after="0" w:line="240" w:lineRule="auto"/>
        <w:jc w:val="both"/>
        <w:rPr>
          <w:rFonts w:ascii="Times New Roman" w:hAnsi="Times New Roman" w:cs="Times New Roman"/>
          <w:sz w:val="24"/>
          <w:szCs w:val="24"/>
        </w:rPr>
      </w:pPr>
    </w:p>
    <w:p w:rsidR="009402B3" w:rsidRDefault="009402B3" w:rsidP="00BE1DE6">
      <w:pPr>
        <w:tabs>
          <w:tab w:val="left" w:pos="0"/>
        </w:tabs>
        <w:spacing w:after="0" w:line="240" w:lineRule="auto"/>
        <w:jc w:val="both"/>
        <w:rPr>
          <w:rFonts w:ascii="Times New Roman" w:hAnsi="Times New Roman" w:cs="Times New Roman"/>
          <w:sz w:val="24"/>
          <w:szCs w:val="24"/>
        </w:rPr>
      </w:pPr>
      <w:r w:rsidRPr="00C33DDD">
        <w:rPr>
          <w:rFonts w:ascii="Times New Roman" w:hAnsi="Times New Roman" w:cs="Times New Roman"/>
          <w:b/>
          <w:bCs/>
          <w:sz w:val="24"/>
          <w:szCs w:val="24"/>
        </w:rPr>
        <w:t>Conclusione</w:t>
      </w:r>
      <w:r>
        <w:rPr>
          <w:rFonts w:ascii="Times New Roman" w:hAnsi="Times New Roman" w:cs="Times New Roman"/>
          <w:sz w:val="24"/>
          <w:szCs w:val="24"/>
        </w:rPr>
        <w:t>. La lettura attenta dei testi in cui Bonaventura parla dell’anagogia ci aiuta a comprendere meglio la centralità della sacra Scrittura nel suo pensiero teologico, con il costante orientamento al Signore Gesù Cristo, nel quale ogni Scrittura si compie e del quale ogni pagina parla. La ricerca della sapienza cristiana è una via all’interno della Scrittura, autenticata dalla conformità della vita, animata dalla carità.</w:t>
      </w:r>
    </w:p>
    <w:p w:rsidR="009402B3" w:rsidRDefault="009402B3" w:rsidP="00BE1DE6">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Se il cammino – l’itinerario – dell’uomo si può leggere in più modi, come fa Bonaventura nelle sue opere scegliendo approcci diversi, pure ciò che alla fine è messo in evidenza è il punto d’arrivo del percorso:</w:t>
      </w:r>
    </w:p>
    <w:p w:rsidR="009402B3" w:rsidRDefault="009402B3" w:rsidP="00BE1DE6">
      <w:pPr>
        <w:tabs>
          <w:tab w:val="left" w:pos="0"/>
        </w:tabs>
        <w:spacing w:after="0" w:line="240" w:lineRule="auto"/>
        <w:jc w:val="both"/>
        <w:rPr>
          <w:rFonts w:ascii="Times New Roman" w:hAnsi="Times New Roman" w:cs="Times New Roman"/>
        </w:rPr>
      </w:pPr>
    </w:p>
    <w:p w:rsidR="009402B3" w:rsidRPr="00E11696" w:rsidRDefault="009402B3" w:rsidP="00E11696">
      <w:pPr>
        <w:tabs>
          <w:tab w:val="left" w:pos="868"/>
        </w:tabs>
        <w:spacing w:after="0" w:line="240" w:lineRule="auto"/>
        <w:ind w:left="868"/>
        <w:jc w:val="both"/>
        <w:rPr>
          <w:rFonts w:ascii="Times New Roman" w:hAnsi="Times New Roman" w:cs="Times New Roman"/>
        </w:rPr>
      </w:pPr>
      <w:r>
        <w:rPr>
          <w:rFonts w:ascii="Times New Roman" w:hAnsi="Times New Roman" w:cs="Times New Roman"/>
        </w:rPr>
        <w:t xml:space="preserve">«Che si tratti quindi delle forme sensibili di questo mondo, o delle figure e degli enigmi della Scrittura, o della carne del Verbo incarnato, sempre con uno stesso movimento ci eleviamo, come san Paolo ci invita a fare, dalle cose sensibili fino alle “invisibilia Dei”. Il termine al quale siamo in tal modo condotti, quello a cui tende “tutta l’intenzione della sacra Scrittura”, non è altro che la perfetta unione con Dio, quella “unione dello Sposo con la Sposa”, che essa canta nel </w:t>
      </w:r>
      <w:r>
        <w:rPr>
          <w:rFonts w:ascii="Times New Roman" w:hAnsi="Times New Roman" w:cs="Times New Roman"/>
          <w:i/>
          <w:iCs/>
        </w:rPr>
        <w:t>Cantico dei Cantici</w:t>
      </w:r>
      <w:r>
        <w:rPr>
          <w:rFonts w:ascii="Times New Roman" w:hAnsi="Times New Roman" w:cs="Times New Roman"/>
        </w:rPr>
        <w:t xml:space="preserve"> e che si consuma nella carità»</w:t>
      </w:r>
      <w:r>
        <w:rPr>
          <w:rStyle w:val="FootnoteReference"/>
          <w:rFonts w:ascii="Times New Roman" w:hAnsi="Times New Roman" w:cs="Times New Roman"/>
        </w:rPr>
        <w:footnoteReference w:id="46"/>
      </w:r>
      <w:r>
        <w:rPr>
          <w:rFonts w:ascii="Times New Roman" w:hAnsi="Times New Roman" w:cs="Times New Roman"/>
        </w:rPr>
        <w:t>.</w:t>
      </w:r>
    </w:p>
    <w:p w:rsidR="009402B3" w:rsidRDefault="009402B3" w:rsidP="00BE1DE6">
      <w:pPr>
        <w:tabs>
          <w:tab w:val="left" w:pos="0"/>
        </w:tabs>
        <w:spacing w:after="0" w:line="240" w:lineRule="auto"/>
        <w:jc w:val="both"/>
        <w:rPr>
          <w:rFonts w:ascii="Times New Roman" w:hAnsi="Times New Roman" w:cs="Times New Roman"/>
          <w:sz w:val="24"/>
          <w:szCs w:val="24"/>
        </w:rPr>
      </w:pPr>
    </w:p>
    <w:p w:rsidR="009402B3" w:rsidRDefault="009402B3" w:rsidP="00BE1DE6">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L’anagogia è il momento in cui il senso più profondo della Scrittura, che non è altro che quello cristologico nella prospettiva dell’eternità, e il significato mistico declinato nell’esistenza di ciascun cristiano, s’incontrano manifestando l’armonia del piano salvifico di Dio, espressa come caparra della gloria nell’anima. L’aspetto nuziale, quello gioioso e appassionato della relazione tra Cristo e la Chiesa, ritorna nelle parole di Bonaventura quando tratta dell’anagogia. Questo è anche ciò di cui si sente nostalgia nel nostro tempo, emerge il desiderio di riacquistare un atteggiamento contemplativo della vita, cercato però da molti senza più ricordare che è la Chiesa, la sposa del Verbo, a custodire ed offrire le vie dell’itinerario cristiano. Un simile sguardo, pieno di speranza fondata nella fede, oggi potrebbe aiutare il nostro tempo, incerto e frammentato, a recuperare unità e armonia interiore. Sia l’antropologia che l’escatologia – che sono strettamente collegate – possono ricevere un aiuto e una luce preziosa dallo sguardo contemplativo dell’anagogia. Oggi è particolarmente necessario saper cogliere la luce che proviene dall’eterno, reimparare a cercare le tracce del Verbo di Dio ovunque si trovino, contemplare l’esito dell’opera salvifica di Dio nella storia e oltre la storia. San Bonaventura, la cui teologia non è mai puro “esercizio di stile”, invita a mettersi in cammino con determinazione e costanza, lungo un itinerario al cui termine si trova Cristo Signore: </w:t>
      </w:r>
      <w:r w:rsidRPr="00485282">
        <w:rPr>
          <w:rFonts w:ascii="Times New Roman" w:hAnsi="Times New Roman" w:cs="Times New Roman"/>
          <w:i/>
          <w:iCs/>
          <w:sz w:val="24"/>
          <w:szCs w:val="24"/>
        </w:rPr>
        <w:t>Egli è principio, primogenito di quelli che risorgono dai morti, perché sia lui ad avere il primato su tutte le cose</w:t>
      </w:r>
      <w:r>
        <w:rPr>
          <w:rStyle w:val="FootnoteReference"/>
          <w:rFonts w:ascii="Times New Roman" w:hAnsi="Times New Roman" w:cs="Times New Roman"/>
          <w:i/>
          <w:iCs/>
          <w:sz w:val="24"/>
          <w:szCs w:val="24"/>
        </w:rPr>
        <w:footnoteReference w:id="47"/>
      </w:r>
      <w:r>
        <w:rPr>
          <w:rFonts w:ascii="Times New Roman" w:hAnsi="Times New Roman" w:cs="Times New Roman"/>
          <w:i/>
          <w:iCs/>
          <w:sz w:val="24"/>
          <w:szCs w:val="24"/>
        </w:rPr>
        <w:t>.</w:t>
      </w:r>
    </w:p>
    <w:p w:rsidR="009402B3" w:rsidRDefault="009402B3" w:rsidP="00BE1DE6">
      <w:pPr>
        <w:tabs>
          <w:tab w:val="left" w:pos="0"/>
        </w:tabs>
        <w:spacing w:after="0" w:line="240" w:lineRule="auto"/>
        <w:jc w:val="both"/>
        <w:rPr>
          <w:rFonts w:ascii="Times New Roman" w:hAnsi="Times New Roman" w:cs="Times New Roman"/>
          <w:sz w:val="24"/>
          <w:szCs w:val="24"/>
        </w:rPr>
      </w:pPr>
    </w:p>
    <w:p w:rsidR="009402B3" w:rsidRPr="0098608A" w:rsidRDefault="009402B3" w:rsidP="00067FE4">
      <w:pPr>
        <w:tabs>
          <w:tab w:val="left" w:pos="0"/>
        </w:tabs>
        <w:spacing w:after="0" w:line="240" w:lineRule="auto"/>
        <w:jc w:val="right"/>
        <w:rPr>
          <w:rFonts w:ascii="Times New Roman" w:hAnsi="Times New Roman" w:cs="Times New Roman"/>
          <w:sz w:val="24"/>
          <w:szCs w:val="24"/>
          <w:lang w:val="en-US"/>
        </w:rPr>
      </w:pPr>
      <w:r w:rsidRPr="0098608A">
        <w:rPr>
          <w:rFonts w:ascii="Times New Roman" w:hAnsi="Times New Roman" w:cs="Times New Roman"/>
          <w:sz w:val="24"/>
          <w:szCs w:val="24"/>
          <w:lang w:val="en-US"/>
        </w:rPr>
        <w:t>Chiara Alba Mastrorilli</w:t>
      </w:r>
    </w:p>
    <w:p w:rsidR="009402B3" w:rsidRPr="0098608A" w:rsidRDefault="009402B3" w:rsidP="007C1A73">
      <w:pPr>
        <w:tabs>
          <w:tab w:val="left" w:pos="0"/>
        </w:tabs>
        <w:spacing w:after="0" w:line="240" w:lineRule="auto"/>
        <w:rPr>
          <w:rFonts w:ascii="Times New Roman" w:hAnsi="Times New Roman" w:cs="Times New Roman"/>
          <w:sz w:val="24"/>
          <w:szCs w:val="24"/>
          <w:lang w:val="en-US"/>
        </w:rPr>
      </w:pPr>
    </w:p>
    <w:p w:rsidR="009402B3" w:rsidRPr="0098608A" w:rsidRDefault="009402B3" w:rsidP="007C1A73">
      <w:pPr>
        <w:tabs>
          <w:tab w:val="left" w:pos="0"/>
        </w:tabs>
        <w:spacing w:after="0" w:line="240" w:lineRule="auto"/>
        <w:rPr>
          <w:rFonts w:ascii="Times New Roman" w:hAnsi="Times New Roman" w:cs="Times New Roman"/>
          <w:sz w:val="24"/>
          <w:szCs w:val="24"/>
          <w:lang w:val="en-US"/>
        </w:rPr>
      </w:pPr>
    </w:p>
    <w:p w:rsidR="009402B3" w:rsidRPr="0098608A" w:rsidRDefault="009402B3" w:rsidP="007C1A73">
      <w:pPr>
        <w:tabs>
          <w:tab w:val="left" w:pos="0"/>
        </w:tabs>
        <w:spacing w:after="0" w:line="240" w:lineRule="auto"/>
        <w:rPr>
          <w:rFonts w:ascii="Times New Roman" w:hAnsi="Times New Roman" w:cs="Times New Roman"/>
          <w:sz w:val="24"/>
          <w:szCs w:val="24"/>
          <w:lang w:val="en-US"/>
        </w:rPr>
      </w:pPr>
    </w:p>
    <w:p w:rsidR="009402B3" w:rsidRPr="0098608A" w:rsidRDefault="009402B3" w:rsidP="007C1A73">
      <w:pPr>
        <w:tabs>
          <w:tab w:val="left" w:pos="0"/>
        </w:tabs>
        <w:spacing w:after="0" w:line="240" w:lineRule="auto"/>
        <w:rPr>
          <w:rFonts w:ascii="Times New Roman" w:hAnsi="Times New Roman" w:cs="Times New Roman"/>
          <w:sz w:val="24"/>
          <w:szCs w:val="24"/>
          <w:lang w:val="en-US"/>
        </w:rPr>
      </w:pPr>
    </w:p>
    <w:p w:rsidR="009402B3" w:rsidRPr="0098608A" w:rsidRDefault="009402B3" w:rsidP="007C1A73">
      <w:pPr>
        <w:tabs>
          <w:tab w:val="left" w:pos="0"/>
        </w:tabs>
        <w:spacing w:after="0" w:line="240" w:lineRule="auto"/>
        <w:rPr>
          <w:rFonts w:ascii="Times New Roman" w:hAnsi="Times New Roman" w:cs="Times New Roman"/>
          <w:sz w:val="24"/>
          <w:szCs w:val="24"/>
          <w:lang w:val="en-US"/>
        </w:rPr>
      </w:pPr>
    </w:p>
    <w:p w:rsidR="009402B3" w:rsidRPr="0098608A" w:rsidRDefault="009402B3" w:rsidP="007C1A73">
      <w:pPr>
        <w:tabs>
          <w:tab w:val="left" w:pos="0"/>
        </w:tabs>
        <w:spacing w:after="0" w:line="240" w:lineRule="auto"/>
        <w:rPr>
          <w:rFonts w:ascii="Times New Roman" w:hAnsi="Times New Roman" w:cs="Times New Roman"/>
          <w:sz w:val="24"/>
          <w:szCs w:val="24"/>
          <w:lang w:val="en-US"/>
        </w:rPr>
      </w:pPr>
    </w:p>
    <w:p w:rsidR="009402B3" w:rsidRPr="0098608A" w:rsidRDefault="009402B3" w:rsidP="007C1A73">
      <w:pPr>
        <w:tabs>
          <w:tab w:val="left" w:pos="0"/>
        </w:tabs>
        <w:spacing w:after="0" w:line="240" w:lineRule="auto"/>
        <w:rPr>
          <w:rFonts w:ascii="Times New Roman" w:hAnsi="Times New Roman" w:cs="Times New Roman"/>
          <w:sz w:val="24"/>
          <w:szCs w:val="24"/>
          <w:lang w:val="en-US"/>
        </w:rPr>
      </w:pPr>
    </w:p>
    <w:p w:rsidR="009402B3" w:rsidRPr="0098608A" w:rsidRDefault="009402B3" w:rsidP="007C1A73">
      <w:pPr>
        <w:tabs>
          <w:tab w:val="left" w:pos="0"/>
        </w:tabs>
        <w:spacing w:after="0" w:line="240" w:lineRule="auto"/>
        <w:rPr>
          <w:rFonts w:ascii="Times New Roman" w:hAnsi="Times New Roman" w:cs="Times New Roman"/>
          <w:sz w:val="24"/>
          <w:szCs w:val="24"/>
          <w:lang w:val="en-US"/>
        </w:rPr>
      </w:pPr>
    </w:p>
    <w:p w:rsidR="009402B3" w:rsidRPr="0098608A" w:rsidRDefault="009402B3" w:rsidP="007C1A73">
      <w:pPr>
        <w:tabs>
          <w:tab w:val="left" w:pos="0"/>
        </w:tabs>
        <w:spacing w:after="0" w:line="240" w:lineRule="auto"/>
        <w:jc w:val="both"/>
        <w:rPr>
          <w:rFonts w:ascii="Times New Roman" w:hAnsi="Times New Roman" w:cs="Times New Roman"/>
          <w:sz w:val="24"/>
          <w:szCs w:val="24"/>
          <w:lang w:val="en-US"/>
        </w:rPr>
      </w:pPr>
      <w:r w:rsidRPr="0098608A">
        <w:rPr>
          <w:rFonts w:ascii="Times New Roman" w:hAnsi="Times New Roman" w:cs="Times New Roman"/>
          <w:sz w:val="24"/>
          <w:szCs w:val="24"/>
          <w:lang w:val="en-US"/>
        </w:rPr>
        <w:t>Summary</w:t>
      </w:r>
    </w:p>
    <w:p w:rsidR="009402B3" w:rsidRPr="0098608A" w:rsidRDefault="009402B3" w:rsidP="007C1A73">
      <w:pPr>
        <w:tabs>
          <w:tab w:val="left" w:pos="0"/>
        </w:tabs>
        <w:spacing w:after="0" w:line="240" w:lineRule="auto"/>
        <w:jc w:val="both"/>
        <w:rPr>
          <w:rFonts w:ascii="Times New Roman" w:hAnsi="Times New Roman" w:cs="Times New Roman"/>
          <w:sz w:val="24"/>
          <w:szCs w:val="24"/>
          <w:lang w:val="en-US"/>
        </w:rPr>
      </w:pPr>
    </w:p>
    <w:p w:rsidR="009402B3" w:rsidRPr="007C1A73" w:rsidRDefault="009402B3" w:rsidP="007C1A73">
      <w:pPr>
        <w:spacing w:after="0" w:line="240" w:lineRule="auto"/>
        <w:jc w:val="both"/>
        <w:rPr>
          <w:rFonts w:ascii="Times New Roman" w:hAnsi="Times New Roman" w:cs="Times New Roman"/>
          <w:sz w:val="24"/>
          <w:szCs w:val="24"/>
          <w:lang w:val="en-US"/>
        </w:rPr>
      </w:pPr>
      <w:r w:rsidRPr="007C1A73">
        <w:rPr>
          <w:rFonts w:ascii="Times New Roman" w:hAnsi="Times New Roman" w:cs="Times New Roman"/>
          <w:sz w:val="24"/>
          <w:szCs w:val="24"/>
          <w:lang w:val="en-US"/>
        </w:rPr>
        <w:t>Subject of the article is anagogy in St. Bonaventure’s writings.</w:t>
      </w:r>
      <w:r>
        <w:rPr>
          <w:rFonts w:ascii="Times New Roman" w:hAnsi="Times New Roman" w:cs="Times New Roman"/>
          <w:sz w:val="24"/>
          <w:szCs w:val="24"/>
          <w:lang w:val="en-US"/>
        </w:rPr>
        <w:t xml:space="preserve"> </w:t>
      </w:r>
      <w:r w:rsidRPr="007C1A73">
        <w:rPr>
          <w:rFonts w:ascii="Times New Roman" w:hAnsi="Times New Roman" w:cs="Times New Roman"/>
          <w:sz w:val="24"/>
          <w:szCs w:val="24"/>
          <w:lang w:val="en-US"/>
        </w:rPr>
        <w:t>In the process of interpretation of Sacred Scripture the anagogical moment is the last, coming after the literal sense and the other degrees of spiritual interpretation (allegory, tropology).</w:t>
      </w:r>
      <w:r>
        <w:rPr>
          <w:rFonts w:ascii="Times New Roman" w:hAnsi="Times New Roman" w:cs="Times New Roman"/>
          <w:sz w:val="24"/>
          <w:szCs w:val="24"/>
          <w:lang w:val="en-US"/>
        </w:rPr>
        <w:t xml:space="preserve"> </w:t>
      </w:r>
      <w:r w:rsidRPr="007C1A73">
        <w:rPr>
          <w:rFonts w:ascii="Times New Roman" w:hAnsi="Times New Roman" w:cs="Times New Roman"/>
          <w:sz w:val="24"/>
          <w:szCs w:val="24"/>
          <w:lang w:val="en-US"/>
        </w:rPr>
        <w:t>In St. Bonaventure’s thought which has a soul's journey to God clearly articulated, flexible in approach, and tending to the full union of charity, the last stage also represents the culmination and synthesis of the above.</w:t>
      </w:r>
    </w:p>
    <w:p w:rsidR="009402B3" w:rsidRPr="007C1A73" w:rsidRDefault="009402B3" w:rsidP="007C1A73">
      <w:pPr>
        <w:spacing w:after="0" w:line="240" w:lineRule="auto"/>
        <w:jc w:val="both"/>
        <w:rPr>
          <w:rFonts w:ascii="Times New Roman" w:hAnsi="Times New Roman" w:cs="Times New Roman"/>
          <w:sz w:val="24"/>
          <w:szCs w:val="24"/>
          <w:lang w:val="en-US"/>
        </w:rPr>
      </w:pPr>
      <w:r w:rsidRPr="007C1A73">
        <w:rPr>
          <w:rFonts w:ascii="Times New Roman" w:hAnsi="Times New Roman" w:cs="Times New Roman"/>
          <w:sz w:val="24"/>
          <w:szCs w:val="24"/>
          <w:lang w:val="en-US"/>
        </w:rPr>
        <w:t>Therefore, anagogy not only appears as a moment of interpretation of Scripture but also a moment of fulfillment.</w:t>
      </w:r>
    </w:p>
    <w:p w:rsidR="009402B3" w:rsidRDefault="009402B3" w:rsidP="007C1A73">
      <w:pPr>
        <w:spacing w:after="0" w:line="240" w:lineRule="auto"/>
        <w:jc w:val="both"/>
        <w:rPr>
          <w:rFonts w:ascii="Times New Roman" w:hAnsi="Times New Roman" w:cs="Times New Roman"/>
          <w:sz w:val="24"/>
          <w:szCs w:val="24"/>
          <w:lang w:val="en-US"/>
        </w:rPr>
      </w:pPr>
      <w:r w:rsidRPr="007C1A73">
        <w:rPr>
          <w:rFonts w:ascii="Times New Roman" w:hAnsi="Times New Roman" w:cs="Times New Roman"/>
          <w:sz w:val="24"/>
          <w:szCs w:val="24"/>
          <w:lang w:val="en-US"/>
        </w:rPr>
        <w:t>After referring to some aspects of exegesis in the thirteenth century - according to Henri de Lubac studies – will be analyzed the steps in which the appointment Bonaventure anagogy looking whether there is an evolution in his thinking about this aspect.</w:t>
      </w:r>
      <w:r>
        <w:rPr>
          <w:rFonts w:ascii="Times New Roman" w:hAnsi="Times New Roman" w:cs="Times New Roman"/>
          <w:sz w:val="24"/>
          <w:szCs w:val="24"/>
          <w:lang w:val="en-US"/>
        </w:rPr>
        <w:t xml:space="preserve"> </w:t>
      </w:r>
      <w:r w:rsidRPr="007C1A73">
        <w:rPr>
          <w:rFonts w:ascii="Times New Roman" w:hAnsi="Times New Roman" w:cs="Times New Roman"/>
          <w:sz w:val="24"/>
          <w:szCs w:val="24"/>
          <w:lang w:val="en-US"/>
        </w:rPr>
        <w:t xml:space="preserve">The topic is particularly important for us as an invitation to consider the great consistency of Bonaventure’s </w:t>
      </w:r>
      <w:r w:rsidRPr="00DD2B55">
        <w:rPr>
          <w:rFonts w:ascii="Times New Roman" w:hAnsi="Times New Roman" w:cs="Times New Roman"/>
          <w:sz w:val="24"/>
          <w:szCs w:val="24"/>
          <w:lang w:val="en-US"/>
        </w:rPr>
        <w:t>thought a</w:t>
      </w:r>
      <w:r w:rsidRPr="007C1A73">
        <w:rPr>
          <w:rFonts w:ascii="Times New Roman" w:hAnsi="Times New Roman" w:cs="Times New Roman"/>
          <w:sz w:val="24"/>
          <w:szCs w:val="24"/>
          <w:lang w:val="en-US"/>
        </w:rPr>
        <w:t>nd highlights the centrality of Scripture in close connection with the ascetic-spiritual journey.</w:t>
      </w:r>
    </w:p>
    <w:p w:rsidR="009402B3" w:rsidRDefault="009402B3" w:rsidP="007C1A73">
      <w:pPr>
        <w:spacing w:after="0" w:line="240" w:lineRule="auto"/>
        <w:jc w:val="both"/>
        <w:rPr>
          <w:rFonts w:ascii="Times New Roman" w:hAnsi="Times New Roman" w:cs="Times New Roman"/>
          <w:sz w:val="24"/>
          <w:szCs w:val="24"/>
          <w:lang w:val="en-US"/>
        </w:rPr>
      </w:pPr>
    </w:p>
    <w:p w:rsidR="009402B3" w:rsidRPr="007C1A73" w:rsidRDefault="009402B3" w:rsidP="007C1A73">
      <w:pPr>
        <w:spacing w:after="0" w:line="240" w:lineRule="auto"/>
        <w:jc w:val="both"/>
        <w:rPr>
          <w:rFonts w:ascii="Times New Roman" w:hAnsi="Times New Roman" w:cs="Times New Roman"/>
          <w:sz w:val="24"/>
          <w:szCs w:val="24"/>
          <w:lang w:val="en-US"/>
        </w:rPr>
      </w:pPr>
      <w:bookmarkStart w:id="0" w:name="_GoBack"/>
      <w:bookmarkEnd w:id="0"/>
    </w:p>
    <w:sectPr w:rsidR="009402B3" w:rsidRPr="007C1A73" w:rsidSect="006047F4">
      <w:footerReference w:type="default" r:id="rId18"/>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02B3" w:rsidRDefault="009402B3" w:rsidP="00546677">
      <w:pPr>
        <w:spacing w:after="0" w:line="240" w:lineRule="auto"/>
      </w:pPr>
      <w:r>
        <w:separator/>
      </w:r>
    </w:p>
  </w:endnote>
  <w:endnote w:type="continuationSeparator" w:id="0">
    <w:p w:rsidR="009402B3" w:rsidRDefault="009402B3" w:rsidP="005466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2B3" w:rsidRDefault="009402B3">
    <w:pPr>
      <w:pStyle w:val="Footer"/>
      <w:jc w:val="center"/>
    </w:pPr>
    <w:fldSimple w:instr="PAGE   \* MERGEFORMAT">
      <w:r>
        <w:rPr>
          <w:noProof/>
        </w:rPr>
        <w:t>1</w:t>
      </w:r>
    </w:fldSimple>
  </w:p>
  <w:p w:rsidR="009402B3" w:rsidRDefault="009402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02B3" w:rsidRDefault="009402B3" w:rsidP="00546677">
      <w:pPr>
        <w:spacing w:after="0" w:line="240" w:lineRule="auto"/>
      </w:pPr>
      <w:r>
        <w:separator/>
      </w:r>
    </w:p>
  </w:footnote>
  <w:footnote w:type="continuationSeparator" w:id="0">
    <w:p w:rsidR="009402B3" w:rsidRDefault="009402B3" w:rsidP="00546677">
      <w:pPr>
        <w:spacing w:after="0" w:line="240" w:lineRule="auto"/>
      </w:pPr>
      <w:r>
        <w:continuationSeparator/>
      </w:r>
    </w:p>
  </w:footnote>
  <w:footnote w:id="1">
    <w:p w:rsidR="009402B3" w:rsidRDefault="009402B3" w:rsidP="005775F6">
      <w:pPr>
        <w:pStyle w:val="FootnoteText"/>
        <w:jc w:val="both"/>
      </w:pPr>
      <w:r w:rsidRPr="00546677">
        <w:rPr>
          <w:rStyle w:val="FootnoteReference"/>
          <w:rFonts w:ascii="Times New Roman" w:hAnsi="Times New Roman" w:cs="Times New Roman"/>
        </w:rPr>
        <w:footnoteRef/>
      </w:r>
      <w:r w:rsidRPr="00546677">
        <w:rPr>
          <w:rFonts w:ascii="Times New Roman" w:hAnsi="Times New Roman" w:cs="Times New Roman"/>
        </w:rPr>
        <w:t xml:space="preserve"> Dai Commenti a testi biblici degli anni 1248-50 al </w:t>
      </w:r>
      <w:r w:rsidRPr="00546677">
        <w:rPr>
          <w:rFonts w:ascii="Times New Roman" w:hAnsi="Times New Roman" w:cs="Times New Roman"/>
          <w:i/>
          <w:iCs/>
        </w:rPr>
        <w:t>Breviloquium</w:t>
      </w:r>
      <w:r w:rsidRPr="00546677">
        <w:rPr>
          <w:rFonts w:ascii="Times New Roman" w:hAnsi="Times New Roman" w:cs="Times New Roman"/>
        </w:rPr>
        <w:t xml:space="preserve"> </w:t>
      </w:r>
      <w:r>
        <w:rPr>
          <w:rFonts w:ascii="Times New Roman" w:hAnsi="Times New Roman" w:cs="Times New Roman"/>
        </w:rPr>
        <w:t xml:space="preserve">e fino alle </w:t>
      </w:r>
      <w:r w:rsidRPr="005775F6">
        <w:rPr>
          <w:rFonts w:ascii="Times New Roman" w:hAnsi="Times New Roman" w:cs="Times New Roman"/>
          <w:i/>
          <w:iCs/>
        </w:rPr>
        <w:t>Collationes in Hexaëmeron</w:t>
      </w:r>
      <w:r>
        <w:rPr>
          <w:rFonts w:ascii="Times New Roman" w:hAnsi="Times New Roman" w:cs="Times New Roman"/>
        </w:rPr>
        <w:t>, nelle quali la Scrittura ha il posto centrale, nella parte relativa al terzo giorno della creazione.</w:t>
      </w:r>
    </w:p>
  </w:footnote>
  <w:footnote w:id="2">
    <w:p w:rsidR="009402B3" w:rsidRDefault="009402B3" w:rsidP="00AB4AA0">
      <w:pPr>
        <w:pStyle w:val="FootnoteText"/>
        <w:jc w:val="both"/>
      </w:pPr>
      <w:r w:rsidRPr="00AB4AA0">
        <w:rPr>
          <w:rStyle w:val="FootnoteReference"/>
          <w:rFonts w:ascii="Times New Roman" w:hAnsi="Times New Roman" w:cs="Times New Roman"/>
        </w:rPr>
        <w:footnoteRef/>
      </w:r>
      <w:r w:rsidRPr="00AB4AA0">
        <w:rPr>
          <w:rFonts w:ascii="Times New Roman" w:hAnsi="Times New Roman" w:cs="Times New Roman"/>
        </w:rPr>
        <w:t xml:space="preserve"> Nella Divina Commedia</w:t>
      </w:r>
      <w:r>
        <w:rPr>
          <w:rFonts w:ascii="Times New Roman" w:hAnsi="Times New Roman" w:cs="Times New Roman"/>
        </w:rPr>
        <w:t xml:space="preserve"> un’immagine luminosa e sorridente di questo compito è quella di Beatrice, colei che accompagna l’ascesa del pellegrino dalla cima del purgatorio attraverso tutti i cieli. Cf. </w:t>
      </w:r>
      <w:r w:rsidRPr="00AB4AA0">
        <w:rPr>
          <w:rFonts w:ascii="Times New Roman" w:hAnsi="Times New Roman" w:cs="Times New Roman"/>
          <w:smallCaps/>
        </w:rPr>
        <w:t>Chiara Alba Mastrorilli</w:t>
      </w:r>
      <w:r>
        <w:rPr>
          <w:rFonts w:ascii="Times New Roman" w:hAnsi="Times New Roman" w:cs="Times New Roman"/>
        </w:rPr>
        <w:t xml:space="preserve">, </w:t>
      </w:r>
      <w:r>
        <w:rPr>
          <w:rFonts w:ascii="Times New Roman" w:hAnsi="Times New Roman" w:cs="Times New Roman"/>
          <w:i/>
          <w:iCs/>
        </w:rPr>
        <w:t>Quinc</w:t>
      </w:r>
      <w:r w:rsidRPr="00B25C09">
        <w:rPr>
          <w:rFonts w:ascii="Times New Roman" w:hAnsi="Times New Roman" w:cs="Times New Roman"/>
          <w:i/>
          <w:iCs/>
        </w:rPr>
        <w:t>i rivolse inver’ lo cielo il viso.</w:t>
      </w:r>
      <w:r>
        <w:rPr>
          <w:rFonts w:ascii="Times New Roman" w:hAnsi="Times New Roman" w:cs="Times New Roman"/>
        </w:rPr>
        <w:t xml:space="preserve"> </w:t>
      </w:r>
      <w:r w:rsidRPr="00CD70A9">
        <w:rPr>
          <w:rFonts w:ascii="Times New Roman" w:hAnsi="Times New Roman" w:cs="Times New Roman"/>
          <w:i/>
          <w:iCs/>
        </w:rPr>
        <w:t>Beatrice come teologia anagogica</w:t>
      </w:r>
      <w:r>
        <w:rPr>
          <w:rFonts w:ascii="Times New Roman" w:hAnsi="Times New Roman" w:cs="Times New Roman"/>
        </w:rPr>
        <w:t>, in «Divus Thomas», 119,1 (2016), 234-264.</w:t>
      </w:r>
    </w:p>
  </w:footnote>
  <w:footnote w:id="3">
    <w:p w:rsidR="009402B3" w:rsidRDefault="009402B3" w:rsidP="00CD70A9">
      <w:pPr>
        <w:pStyle w:val="FootnoteText"/>
        <w:jc w:val="both"/>
      </w:pPr>
      <w:r w:rsidRPr="00CD70A9">
        <w:rPr>
          <w:rStyle w:val="FootnoteReference"/>
          <w:rFonts w:ascii="Times New Roman" w:hAnsi="Times New Roman" w:cs="Times New Roman"/>
          <w:smallCaps/>
        </w:rPr>
        <w:footnoteRef/>
      </w:r>
      <w:r w:rsidRPr="00CD70A9">
        <w:rPr>
          <w:rFonts w:ascii="Times New Roman" w:hAnsi="Times New Roman" w:cs="Times New Roman"/>
          <w:smallCaps/>
        </w:rPr>
        <w:t xml:space="preserve"> Giacomo Biffi, </w:t>
      </w:r>
      <w:r w:rsidRPr="00CD70A9">
        <w:rPr>
          <w:rFonts w:ascii="Times New Roman" w:hAnsi="Times New Roman" w:cs="Times New Roman"/>
          <w:i/>
          <w:iCs/>
        </w:rPr>
        <w:t>Canto nuziale: esercitazione di teologia anagogica</w:t>
      </w:r>
      <w:r>
        <w:rPr>
          <w:rFonts w:ascii="Times New Roman" w:hAnsi="Times New Roman" w:cs="Times New Roman"/>
        </w:rPr>
        <w:t>, Milano, Jaca Book, 2000, 22.</w:t>
      </w:r>
    </w:p>
  </w:footnote>
  <w:footnote w:id="4">
    <w:p w:rsidR="009402B3" w:rsidRDefault="009402B3" w:rsidP="00181D0E">
      <w:pPr>
        <w:pStyle w:val="FootnoteText"/>
        <w:jc w:val="both"/>
      </w:pPr>
      <w:r w:rsidRPr="00181D0E">
        <w:rPr>
          <w:rStyle w:val="FootnoteReference"/>
          <w:rFonts w:ascii="Times New Roman" w:hAnsi="Times New Roman" w:cs="Times New Roman"/>
        </w:rPr>
        <w:footnoteRef/>
      </w:r>
      <w:r w:rsidRPr="00181D0E">
        <w:rPr>
          <w:rFonts w:ascii="Times New Roman" w:hAnsi="Times New Roman" w:cs="Times New Roman"/>
        </w:rPr>
        <w:t xml:space="preserve"> </w:t>
      </w:r>
      <w:r w:rsidRPr="00181D0E">
        <w:rPr>
          <w:rFonts w:ascii="Times New Roman" w:hAnsi="Times New Roman" w:cs="Times New Roman"/>
          <w:smallCaps/>
        </w:rPr>
        <w:t>Henri de Lubac</w:t>
      </w:r>
      <w:r w:rsidRPr="00181D0E">
        <w:rPr>
          <w:rFonts w:ascii="Times New Roman" w:hAnsi="Times New Roman" w:cs="Times New Roman"/>
        </w:rPr>
        <w:t xml:space="preserve">, </w:t>
      </w:r>
      <w:r w:rsidRPr="00181D0E">
        <w:rPr>
          <w:rFonts w:ascii="Times New Roman" w:hAnsi="Times New Roman" w:cs="Times New Roman"/>
          <w:i/>
          <w:iCs/>
        </w:rPr>
        <w:t>Esegesi medievale. I quattro sensi della Scrittura</w:t>
      </w:r>
      <w:r>
        <w:rPr>
          <w:rFonts w:ascii="Times New Roman" w:hAnsi="Times New Roman" w:cs="Times New Roman"/>
        </w:rPr>
        <w:t>, Milano, Jaca Book, 2006, cf. parte I, vol. II, in particolare Cap. 10 “Anagogia ed escatologia”, 277-327.</w:t>
      </w:r>
    </w:p>
  </w:footnote>
  <w:footnote w:id="5">
    <w:p w:rsidR="009402B3" w:rsidRDefault="009402B3" w:rsidP="000A4DD7">
      <w:pPr>
        <w:pStyle w:val="FootnoteText"/>
        <w:jc w:val="both"/>
      </w:pPr>
      <w:r w:rsidRPr="000A4DD7">
        <w:rPr>
          <w:rStyle w:val="FootnoteReference"/>
          <w:rFonts w:ascii="Times New Roman" w:hAnsi="Times New Roman" w:cs="Times New Roman"/>
        </w:rPr>
        <w:footnoteRef/>
      </w:r>
      <w:r w:rsidRPr="000A4DD7">
        <w:rPr>
          <w:rFonts w:ascii="Times New Roman" w:hAnsi="Times New Roman" w:cs="Times New Roman"/>
        </w:rPr>
        <w:t xml:space="preserve"> </w:t>
      </w:r>
      <w:r w:rsidRPr="000A4DD7">
        <w:rPr>
          <w:rFonts w:ascii="Times New Roman" w:hAnsi="Times New Roman" w:cs="Times New Roman"/>
          <w:smallCaps/>
        </w:rPr>
        <w:t>Origene</w:t>
      </w:r>
      <w:r>
        <w:rPr>
          <w:rFonts w:ascii="Times New Roman" w:hAnsi="Times New Roman" w:cs="Times New Roman"/>
        </w:rPr>
        <w:t xml:space="preserve">, </w:t>
      </w:r>
      <w:r w:rsidRPr="000A4DD7">
        <w:rPr>
          <w:rFonts w:ascii="Times New Roman" w:hAnsi="Times New Roman" w:cs="Times New Roman"/>
          <w:i/>
          <w:iCs/>
        </w:rPr>
        <w:t>In Jos</w:t>
      </w:r>
      <w:r>
        <w:rPr>
          <w:rFonts w:ascii="Times New Roman" w:hAnsi="Times New Roman" w:cs="Times New Roman"/>
        </w:rPr>
        <w:t xml:space="preserve">., h. 25, n. 3; </w:t>
      </w:r>
      <w:r w:rsidRPr="000A4DD7">
        <w:rPr>
          <w:rFonts w:ascii="Times New Roman" w:hAnsi="Times New Roman" w:cs="Times New Roman"/>
          <w:i/>
          <w:iCs/>
        </w:rPr>
        <w:t>Omelie su Giosuè</w:t>
      </w:r>
      <w:r>
        <w:rPr>
          <w:rFonts w:ascii="Times New Roman" w:hAnsi="Times New Roman" w:cs="Times New Roman"/>
        </w:rPr>
        <w:t>, Roma, Città Nuova,1993, 306.</w:t>
      </w:r>
    </w:p>
  </w:footnote>
  <w:footnote w:id="6">
    <w:p w:rsidR="009402B3" w:rsidRDefault="009402B3">
      <w:pPr>
        <w:pStyle w:val="FootnoteText"/>
      </w:pPr>
      <w:r w:rsidRPr="00A078B7">
        <w:rPr>
          <w:rStyle w:val="FootnoteReference"/>
          <w:rFonts w:ascii="Times New Roman" w:hAnsi="Times New Roman" w:cs="Times New Roman"/>
        </w:rPr>
        <w:footnoteRef/>
      </w:r>
      <w:r w:rsidRPr="00A078B7">
        <w:rPr>
          <w:rFonts w:ascii="Times New Roman" w:hAnsi="Times New Roman" w:cs="Times New Roman"/>
        </w:rPr>
        <w:t xml:space="preserve"> </w:t>
      </w:r>
      <w:r w:rsidRPr="00A078B7">
        <w:rPr>
          <w:rFonts w:ascii="Times New Roman" w:hAnsi="Times New Roman" w:cs="Times New Roman"/>
          <w:smallCaps/>
        </w:rPr>
        <w:t>Henri de Lubac</w:t>
      </w:r>
      <w:r w:rsidRPr="00A078B7">
        <w:rPr>
          <w:rFonts w:ascii="Times New Roman" w:hAnsi="Times New Roman" w:cs="Times New Roman"/>
        </w:rPr>
        <w:t xml:space="preserve">, </w:t>
      </w:r>
      <w:r w:rsidRPr="00A078B7">
        <w:rPr>
          <w:rFonts w:ascii="Times New Roman" w:hAnsi="Times New Roman" w:cs="Times New Roman"/>
          <w:i/>
          <w:iCs/>
        </w:rPr>
        <w:t>Esegesi medievale</w:t>
      </w:r>
      <w:r>
        <w:rPr>
          <w:rFonts w:ascii="Times New Roman" w:hAnsi="Times New Roman" w:cs="Times New Roman"/>
        </w:rPr>
        <w:t>, cit. vol. II, 289-290.</w:t>
      </w:r>
    </w:p>
  </w:footnote>
  <w:footnote w:id="7">
    <w:p w:rsidR="009402B3" w:rsidRDefault="009402B3" w:rsidP="005C1535">
      <w:pPr>
        <w:pStyle w:val="FootnoteText"/>
        <w:jc w:val="both"/>
      </w:pPr>
      <w:r w:rsidRPr="005C1535">
        <w:rPr>
          <w:rStyle w:val="FootnoteReference"/>
          <w:rFonts w:ascii="Times New Roman" w:hAnsi="Times New Roman" w:cs="Times New Roman"/>
        </w:rPr>
        <w:footnoteRef/>
      </w:r>
      <w:r w:rsidRPr="005C1535">
        <w:rPr>
          <w:rFonts w:ascii="Times New Roman" w:hAnsi="Times New Roman" w:cs="Times New Roman"/>
        </w:rPr>
        <w:t xml:space="preserve"> </w:t>
      </w:r>
      <w:r w:rsidRPr="005C1535">
        <w:rPr>
          <w:rFonts w:ascii="Times New Roman" w:hAnsi="Times New Roman" w:cs="Times New Roman"/>
          <w:smallCaps/>
        </w:rPr>
        <w:t>Id.</w:t>
      </w:r>
      <w:r w:rsidRPr="005C1535">
        <w:rPr>
          <w:rFonts w:ascii="Times New Roman" w:hAnsi="Times New Roman" w:cs="Times New Roman"/>
        </w:rPr>
        <w:t xml:space="preserve">, </w:t>
      </w:r>
      <w:r w:rsidRPr="005C1535">
        <w:rPr>
          <w:rFonts w:ascii="Times New Roman" w:hAnsi="Times New Roman" w:cs="Times New Roman"/>
          <w:i/>
          <w:iCs/>
        </w:rPr>
        <w:t>ivi</w:t>
      </w:r>
      <w:r w:rsidRPr="005C1535">
        <w:rPr>
          <w:rFonts w:ascii="Times New Roman" w:hAnsi="Times New Roman" w:cs="Times New Roman"/>
        </w:rPr>
        <w:t>, 294.</w:t>
      </w:r>
    </w:p>
  </w:footnote>
  <w:footnote w:id="8">
    <w:p w:rsidR="009402B3" w:rsidRDefault="009402B3" w:rsidP="0014114A">
      <w:pPr>
        <w:pStyle w:val="FootnoteText"/>
        <w:jc w:val="both"/>
      </w:pPr>
      <w:r w:rsidRPr="0014114A">
        <w:rPr>
          <w:rStyle w:val="FootnoteReference"/>
          <w:rFonts w:ascii="Times New Roman" w:hAnsi="Times New Roman" w:cs="Times New Roman"/>
        </w:rPr>
        <w:footnoteRef/>
      </w:r>
      <w:r w:rsidRPr="0014114A">
        <w:rPr>
          <w:rFonts w:ascii="Times New Roman" w:hAnsi="Times New Roman" w:cs="Times New Roman"/>
        </w:rPr>
        <w:t xml:space="preserve"> E’ sufficiente pensare ai dibattiti sulla metodologia teologica e sulla metafisica.</w:t>
      </w:r>
    </w:p>
  </w:footnote>
  <w:footnote w:id="9">
    <w:p w:rsidR="009402B3" w:rsidRDefault="009402B3" w:rsidP="00FE3783">
      <w:pPr>
        <w:pStyle w:val="FootnoteText"/>
        <w:jc w:val="both"/>
      </w:pPr>
      <w:r w:rsidRPr="00FE3783">
        <w:rPr>
          <w:rStyle w:val="FootnoteReference"/>
          <w:rFonts w:ascii="Times New Roman" w:hAnsi="Times New Roman" w:cs="Times New Roman"/>
        </w:rPr>
        <w:footnoteRef/>
      </w:r>
      <w:r w:rsidRPr="00FE3783">
        <w:rPr>
          <w:rFonts w:ascii="Times New Roman" w:hAnsi="Times New Roman" w:cs="Times New Roman"/>
        </w:rPr>
        <w:t xml:space="preserve"> </w:t>
      </w:r>
      <w:r w:rsidRPr="00FE3783">
        <w:rPr>
          <w:rFonts w:ascii="Times New Roman" w:hAnsi="Times New Roman" w:cs="Times New Roman"/>
          <w:smallCaps/>
        </w:rPr>
        <w:t>Giuseppe Barzaghi</w:t>
      </w:r>
      <w:r>
        <w:rPr>
          <w:rFonts w:ascii="Times New Roman" w:hAnsi="Times New Roman" w:cs="Times New Roman"/>
        </w:rPr>
        <w:t xml:space="preserve">, </w:t>
      </w:r>
      <w:r>
        <w:rPr>
          <w:rFonts w:ascii="Times New Roman" w:hAnsi="Times New Roman" w:cs="Times New Roman"/>
          <w:i/>
          <w:iCs/>
        </w:rPr>
        <w:t>Lo sguardo di Dio. Nuovi saggi di teologia anagogica</w:t>
      </w:r>
      <w:r>
        <w:rPr>
          <w:rFonts w:ascii="Times New Roman" w:hAnsi="Times New Roman" w:cs="Times New Roman"/>
        </w:rPr>
        <w:t>, Bologna, Edizioni Studio Domenicano, 2012, 131-132; in particolare cf. il cap. II «Habitat ecclesiale e Habitus teologico».</w:t>
      </w:r>
    </w:p>
  </w:footnote>
  <w:footnote w:id="10">
    <w:p w:rsidR="009402B3" w:rsidRDefault="009402B3" w:rsidP="00FE3783">
      <w:pPr>
        <w:pStyle w:val="FootnoteText"/>
        <w:jc w:val="both"/>
      </w:pPr>
      <w:r w:rsidRPr="00FE3783">
        <w:rPr>
          <w:rStyle w:val="FootnoteReference"/>
          <w:rFonts w:ascii="Times New Roman" w:hAnsi="Times New Roman" w:cs="Times New Roman"/>
        </w:rPr>
        <w:footnoteRef/>
      </w:r>
      <w:r w:rsidRPr="00FE3783">
        <w:rPr>
          <w:rFonts w:ascii="Times New Roman" w:hAnsi="Times New Roman" w:cs="Times New Roman"/>
        </w:rPr>
        <w:t xml:space="preserve"> </w:t>
      </w:r>
      <w:r>
        <w:rPr>
          <w:rFonts w:ascii="Times New Roman" w:hAnsi="Times New Roman" w:cs="Times New Roman"/>
        </w:rPr>
        <w:t xml:space="preserve">Cf. </w:t>
      </w:r>
      <w:r w:rsidRPr="00FE3783">
        <w:rPr>
          <w:rFonts w:ascii="Times New Roman" w:hAnsi="Times New Roman" w:cs="Times New Roman"/>
          <w:smallCaps/>
        </w:rPr>
        <w:t>Elisa Cuttini</w:t>
      </w:r>
      <w:r>
        <w:rPr>
          <w:rFonts w:ascii="Times New Roman" w:hAnsi="Times New Roman" w:cs="Times New Roman"/>
        </w:rPr>
        <w:t xml:space="preserve">, </w:t>
      </w:r>
      <w:r w:rsidRPr="00FE3783">
        <w:rPr>
          <w:rFonts w:ascii="Times New Roman" w:hAnsi="Times New Roman" w:cs="Times New Roman"/>
          <w:i/>
          <w:iCs/>
        </w:rPr>
        <w:t xml:space="preserve">Ritorno a Dio. Filosofia, teologia, etica della </w:t>
      </w:r>
      <w:r w:rsidRPr="00FE3783">
        <w:rPr>
          <w:rFonts w:ascii="Times New Roman" w:hAnsi="Times New Roman" w:cs="Times New Roman"/>
        </w:rPr>
        <w:t>mens</w:t>
      </w:r>
      <w:r w:rsidRPr="00FE3783">
        <w:rPr>
          <w:rFonts w:ascii="Times New Roman" w:hAnsi="Times New Roman" w:cs="Times New Roman"/>
          <w:i/>
          <w:iCs/>
        </w:rPr>
        <w:t xml:space="preserve"> nel pensiero di Bonaventura da Bagnoregio</w:t>
      </w:r>
      <w:r>
        <w:rPr>
          <w:rFonts w:ascii="Times New Roman" w:hAnsi="Times New Roman" w:cs="Times New Roman"/>
        </w:rPr>
        <w:t xml:space="preserve">, Soveria Mannelli, Rubbettino, 2002, cf. cap. I «La </w:t>
      </w:r>
      <w:r w:rsidRPr="00FE3783">
        <w:rPr>
          <w:rFonts w:ascii="Times New Roman" w:hAnsi="Times New Roman" w:cs="Times New Roman"/>
          <w:i/>
          <w:iCs/>
        </w:rPr>
        <w:t>reductio</w:t>
      </w:r>
      <w:r>
        <w:rPr>
          <w:rFonts w:ascii="Times New Roman" w:hAnsi="Times New Roman" w:cs="Times New Roman"/>
        </w:rPr>
        <w:t xml:space="preserve"> come ascesa». La categoria di </w:t>
      </w:r>
      <w:r w:rsidRPr="002B490F">
        <w:rPr>
          <w:rFonts w:ascii="Times New Roman" w:hAnsi="Times New Roman" w:cs="Times New Roman"/>
          <w:i/>
          <w:iCs/>
        </w:rPr>
        <w:t>reductio</w:t>
      </w:r>
      <w:r>
        <w:rPr>
          <w:rFonts w:ascii="Times New Roman" w:hAnsi="Times New Roman" w:cs="Times New Roman"/>
        </w:rPr>
        <w:t xml:space="preserve"> in Bonaventura è da leggere proprio in questo senso, ricordando che: «l’ampiezza semantica del termine </w:t>
      </w:r>
      <w:r w:rsidRPr="002B490F">
        <w:rPr>
          <w:rFonts w:ascii="Times New Roman" w:hAnsi="Times New Roman" w:cs="Times New Roman"/>
          <w:i/>
          <w:iCs/>
        </w:rPr>
        <w:t>reductio</w:t>
      </w:r>
      <w:r>
        <w:rPr>
          <w:rFonts w:ascii="Times New Roman" w:hAnsi="Times New Roman" w:cs="Times New Roman"/>
        </w:rPr>
        <w:t xml:space="preserve"> non è pari a quella del corrispondente greco</w:t>
      </w:r>
      <w:r w:rsidRPr="002B490F">
        <w:rPr>
          <w:rFonts w:ascii="Times New Roman" w:hAnsi="Times New Roman" w:cs="Times New Roman"/>
        </w:rPr>
        <w:t xml:space="preserve">: </w:t>
      </w:r>
      <w:r w:rsidRPr="002B490F">
        <w:rPr>
          <w:rFonts w:ascii="Times New Roman" w:hAnsi="Times New Roman" w:cs="Times New Roman"/>
          <w:color w:val="252525"/>
          <w:shd w:val="clear" w:color="auto" w:fill="FFFFFF"/>
        </w:rPr>
        <w:t>ἀναγωγή</w:t>
      </w:r>
      <w:r>
        <w:rPr>
          <w:rFonts w:ascii="Times New Roman" w:hAnsi="Times New Roman" w:cs="Times New Roman"/>
          <w:color w:val="252525"/>
          <w:shd w:val="clear" w:color="auto" w:fill="FFFFFF"/>
        </w:rPr>
        <w:t xml:space="preserve">, infatti è composto da </w:t>
      </w:r>
      <w:r w:rsidRPr="002B490F">
        <w:rPr>
          <w:rFonts w:ascii="Times New Roman" w:hAnsi="Times New Roman" w:cs="Times New Roman"/>
          <w:color w:val="252525"/>
          <w:shd w:val="clear" w:color="auto" w:fill="FFFFFF"/>
        </w:rPr>
        <w:t>αγωγή</w:t>
      </w:r>
      <w:r>
        <w:rPr>
          <w:rFonts w:ascii="Times New Roman" w:hAnsi="Times New Roman" w:cs="Times New Roman"/>
          <w:color w:val="252525"/>
          <w:shd w:val="clear" w:color="auto" w:fill="FFFFFF"/>
        </w:rPr>
        <w:t xml:space="preserve"> preceduto da </w:t>
      </w:r>
      <w:r w:rsidRPr="002B490F">
        <w:rPr>
          <w:rFonts w:ascii="Times New Roman" w:hAnsi="Times New Roman" w:cs="Times New Roman"/>
          <w:color w:val="252525"/>
          <w:shd w:val="clear" w:color="auto" w:fill="FFFFFF"/>
        </w:rPr>
        <w:t>αν</w:t>
      </w:r>
      <w:r w:rsidRPr="002B490F">
        <w:rPr>
          <w:rFonts w:ascii="Times New Roman" w:hAnsi="Times New Roman" w:cs="Times New Roman"/>
        </w:rPr>
        <w:t xml:space="preserve">ά. Tale </w:t>
      </w:r>
      <w:r>
        <w:rPr>
          <w:rFonts w:ascii="Times New Roman" w:hAnsi="Times New Roman" w:cs="Times New Roman"/>
        </w:rPr>
        <w:t xml:space="preserve">preposizione può indicare il movimento verso l’alto e anche il ritorno indietro; </w:t>
      </w:r>
      <w:r w:rsidRPr="00DB3DA0">
        <w:rPr>
          <w:rFonts w:ascii="Times New Roman" w:hAnsi="Times New Roman" w:cs="Times New Roman"/>
        </w:rPr>
        <w:t>ἄγειν</w:t>
      </w:r>
      <w:r>
        <w:rPr>
          <w:rFonts w:ascii="Times New Roman" w:hAnsi="Times New Roman" w:cs="Times New Roman"/>
        </w:rPr>
        <w:t xml:space="preserve"> ha sia valore intransitivo per cui significa andare, sia transitivo e indica il condurre. Quindi </w:t>
      </w:r>
      <w:r w:rsidRPr="002B490F">
        <w:rPr>
          <w:rFonts w:ascii="Times New Roman" w:hAnsi="Times New Roman" w:cs="Times New Roman"/>
          <w:color w:val="252525"/>
          <w:shd w:val="clear" w:color="auto" w:fill="FFFFFF"/>
        </w:rPr>
        <w:t>αν</w:t>
      </w:r>
      <w:r w:rsidRPr="002B490F">
        <w:rPr>
          <w:rFonts w:ascii="Times New Roman" w:hAnsi="Times New Roman" w:cs="Times New Roman"/>
        </w:rPr>
        <w:t>ά</w:t>
      </w:r>
      <w:r>
        <w:rPr>
          <w:rFonts w:ascii="Times New Roman" w:hAnsi="Times New Roman" w:cs="Times New Roman"/>
        </w:rPr>
        <w:t xml:space="preserve">, in unione con </w:t>
      </w:r>
      <w:r w:rsidRPr="00DB3DA0">
        <w:rPr>
          <w:rFonts w:ascii="Times New Roman" w:hAnsi="Times New Roman" w:cs="Times New Roman"/>
        </w:rPr>
        <w:t>ἄγειν</w:t>
      </w:r>
      <w:r>
        <w:rPr>
          <w:rFonts w:ascii="Times New Roman" w:hAnsi="Times New Roman" w:cs="Times New Roman"/>
        </w:rPr>
        <w:t xml:space="preserve">, vuol dire andare al di sopra, ascendere, e andare indietro o ritornare; inoltre, significa condurre in alto, elevare, e anche condurre indietro o riportare. Quest’ultimo significato trova adeguata traduzione nel termine latino </w:t>
      </w:r>
      <w:r>
        <w:rPr>
          <w:rFonts w:ascii="Times New Roman" w:hAnsi="Times New Roman" w:cs="Times New Roman"/>
          <w:i/>
          <w:iCs/>
        </w:rPr>
        <w:t>reductio</w:t>
      </w:r>
      <w:r>
        <w:rPr>
          <w:rFonts w:ascii="Times New Roman" w:hAnsi="Times New Roman" w:cs="Times New Roman"/>
        </w:rPr>
        <w:t xml:space="preserve"> il quale, però, non riesce ad esprimere che la “riconduzione” approda a una meta ontologicamente superiore rispetto al punto di partenza». 83-84.</w:t>
      </w:r>
    </w:p>
  </w:footnote>
  <w:footnote w:id="11">
    <w:p w:rsidR="009402B3" w:rsidRDefault="009402B3" w:rsidP="00C5205A">
      <w:pPr>
        <w:pStyle w:val="FootnoteText"/>
        <w:jc w:val="both"/>
        <w:rPr>
          <w:rFonts w:ascii="Times New Roman" w:hAnsi="Times New Roman" w:cs="Times New Roman"/>
        </w:rPr>
      </w:pPr>
      <w:r w:rsidRPr="00C5205A">
        <w:rPr>
          <w:rStyle w:val="FootnoteReference"/>
          <w:rFonts w:ascii="Times New Roman" w:hAnsi="Times New Roman" w:cs="Times New Roman"/>
        </w:rPr>
        <w:footnoteRef/>
      </w:r>
      <w:r w:rsidRPr="00C5205A">
        <w:rPr>
          <w:rFonts w:ascii="Times New Roman" w:hAnsi="Times New Roman" w:cs="Times New Roman"/>
        </w:rPr>
        <w:t xml:space="preserve"> La data precisa </w:t>
      </w:r>
      <w:r>
        <w:rPr>
          <w:rFonts w:ascii="Times New Roman" w:hAnsi="Times New Roman" w:cs="Times New Roman"/>
        </w:rPr>
        <w:t xml:space="preserve">è testimoniata dalla </w:t>
      </w:r>
      <w:r w:rsidRPr="00C5205A">
        <w:rPr>
          <w:rFonts w:ascii="Times New Roman" w:hAnsi="Times New Roman" w:cs="Times New Roman"/>
          <w:i/>
          <w:iCs/>
        </w:rPr>
        <w:t>Chronica</w:t>
      </w:r>
      <w:r>
        <w:rPr>
          <w:rFonts w:ascii="Times New Roman" w:hAnsi="Times New Roman" w:cs="Times New Roman"/>
        </w:rPr>
        <w:t xml:space="preserve"> di Salimbene de Adam, che definisce l’opera un </w:t>
      </w:r>
      <w:r w:rsidRPr="00C5205A">
        <w:rPr>
          <w:rFonts w:ascii="Times New Roman" w:hAnsi="Times New Roman" w:cs="Times New Roman"/>
          <w:i/>
          <w:iCs/>
        </w:rPr>
        <w:t>commentario bellissimo e perfetto.</w:t>
      </w:r>
      <w:r>
        <w:rPr>
          <w:rFonts w:ascii="Times New Roman" w:hAnsi="Times New Roman" w:cs="Times New Roman"/>
        </w:rPr>
        <w:t xml:space="preserve"> </w:t>
      </w:r>
      <w:r w:rsidRPr="00C5205A">
        <w:rPr>
          <w:rFonts w:ascii="Times New Roman" w:hAnsi="Times New Roman" w:cs="Times New Roman"/>
          <w:smallCaps/>
        </w:rPr>
        <w:t>Salimbene de Adam</w:t>
      </w:r>
      <w:r>
        <w:rPr>
          <w:rFonts w:ascii="Times New Roman" w:hAnsi="Times New Roman" w:cs="Times New Roman"/>
        </w:rPr>
        <w:t xml:space="preserve">, </w:t>
      </w:r>
      <w:r w:rsidRPr="00C5205A">
        <w:rPr>
          <w:rFonts w:ascii="Times New Roman" w:hAnsi="Times New Roman" w:cs="Times New Roman"/>
          <w:i/>
          <w:iCs/>
        </w:rPr>
        <w:t>Excerpta e Chronico Salimbeni de Salimbenis</w:t>
      </w:r>
      <w:r>
        <w:rPr>
          <w:rFonts w:ascii="Times New Roman" w:hAnsi="Times New Roman" w:cs="Times New Roman"/>
        </w:rPr>
        <w:t xml:space="preserve">, Monumenta Germaniae Historica MGH SS, I, 299; cit. da </w:t>
      </w:r>
      <w:r w:rsidRPr="00C5205A">
        <w:rPr>
          <w:rFonts w:ascii="Times New Roman" w:hAnsi="Times New Roman" w:cs="Times New Roman"/>
          <w:smallCaps/>
        </w:rPr>
        <w:t>Jacques Guy Bougerol</w:t>
      </w:r>
      <w:r>
        <w:rPr>
          <w:rFonts w:ascii="Times New Roman" w:hAnsi="Times New Roman" w:cs="Times New Roman"/>
        </w:rPr>
        <w:t xml:space="preserve">, </w:t>
      </w:r>
      <w:r w:rsidRPr="00C5205A">
        <w:rPr>
          <w:rFonts w:ascii="Times New Roman" w:hAnsi="Times New Roman" w:cs="Times New Roman"/>
          <w:i/>
          <w:iCs/>
        </w:rPr>
        <w:t>Introduzione generale</w:t>
      </w:r>
      <w:r>
        <w:rPr>
          <w:rFonts w:ascii="Times New Roman" w:hAnsi="Times New Roman" w:cs="Times New Roman"/>
        </w:rPr>
        <w:t xml:space="preserve">, </w:t>
      </w:r>
      <w:r w:rsidRPr="00C5205A">
        <w:rPr>
          <w:rFonts w:ascii="Times New Roman" w:hAnsi="Times New Roman" w:cs="Times New Roman"/>
          <w:i/>
          <w:iCs/>
        </w:rPr>
        <w:t>Opere di San Bonaventura</w:t>
      </w:r>
      <w:r>
        <w:rPr>
          <w:rFonts w:ascii="Times New Roman" w:hAnsi="Times New Roman" w:cs="Times New Roman"/>
        </w:rPr>
        <w:t>, Roma, Città Nuova, 1990, 56, nota 24.</w:t>
      </w:r>
    </w:p>
    <w:p w:rsidR="009402B3" w:rsidRDefault="009402B3" w:rsidP="00C5205A">
      <w:pPr>
        <w:pStyle w:val="FootnoteText"/>
        <w:jc w:val="both"/>
      </w:pPr>
      <w:r w:rsidRPr="00DD575E">
        <w:rPr>
          <w:rFonts w:ascii="Times New Roman" w:hAnsi="Times New Roman" w:cs="Times New Roman"/>
          <w:smallCaps/>
        </w:rPr>
        <w:t>San Bonaventura</w:t>
      </w:r>
      <w:r>
        <w:rPr>
          <w:rFonts w:ascii="Times New Roman" w:hAnsi="Times New Roman" w:cs="Times New Roman"/>
        </w:rPr>
        <w:t xml:space="preserve">, </w:t>
      </w:r>
      <w:r>
        <w:rPr>
          <w:rFonts w:ascii="Times New Roman" w:hAnsi="Times New Roman" w:cs="Times New Roman"/>
          <w:i/>
          <w:iCs/>
        </w:rPr>
        <w:t>Commento al V</w:t>
      </w:r>
      <w:r w:rsidRPr="00DD575E">
        <w:rPr>
          <w:rFonts w:ascii="Times New Roman" w:hAnsi="Times New Roman" w:cs="Times New Roman"/>
          <w:i/>
          <w:iCs/>
        </w:rPr>
        <w:t>angelo di San Luca</w:t>
      </w:r>
      <w:r>
        <w:rPr>
          <w:rFonts w:ascii="Times New Roman" w:hAnsi="Times New Roman" w:cs="Times New Roman"/>
        </w:rPr>
        <w:t>/3 (XII-XXI), a cura di Barbara Faes de Mottoni</w:t>
      </w:r>
      <w:r w:rsidRPr="008C28DD">
        <w:rPr>
          <w:rFonts w:ascii="Times New Roman" w:hAnsi="Times New Roman" w:cs="Times New Roman"/>
        </w:rPr>
        <w:t>, trad. e note di Oronzo Casto,</w:t>
      </w:r>
      <w:r>
        <w:rPr>
          <w:rFonts w:ascii="Times New Roman" w:hAnsi="Times New Roman" w:cs="Times New Roman"/>
        </w:rPr>
        <w:t xml:space="preserve"> (Opere di San Bonaventura</w:t>
      </w:r>
      <w:r w:rsidRPr="000E5DDD">
        <w:rPr>
          <w:rFonts w:ascii="Times New Roman" w:hAnsi="Times New Roman" w:cs="Times New Roman"/>
        </w:rPr>
        <w:t xml:space="preserve">, vol. IX/3), </w:t>
      </w:r>
      <w:r w:rsidRPr="008C28DD">
        <w:rPr>
          <w:rFonts w:ascii="Times New Roman" w:hAnsi="Times New Roman" w:cs="Times New Roman"/>
        </w:rPr>
        <w:t>Roma</w:t>
      </w:r>
      <w:r>
        <w:rPr>
          <w:rFonts w:ascii="Times New Roman" w:hAnsi="Times New Roman" w:cs="Times New Roman"/>
        </w:rPr>
        <w:t>, Città Nuova, 2012, n. 50, 134-135.</w:t>
      </w:r>
    </w:p>
  </w:footnote>
  <w:footnote w:id="12">
    <w:p w:rsidR="009402B3" w:rsidRDefault="009402B3" w:rsidP="00DD575E">
      <w:pPr>
        <w:pStyle w:val="FootnoteText"/>
        <w:jc w:val="both"/>
      </w:pPr>
      <w:r w:rsidRPr="00425998">
        <w:rPr>
          <w:rStyle w:val="FootnoteReference"/>
          <w:rFonts w:ascii="Times New Roman" w:hAnsi="Times New Roman" w:cs="Times New Roman"/>
        </w:rPr>
        <w:footnoteRef/>
      </w:r>
      <w:r w:rsidRPr="00425998">
        <w:rPr>
          <w:rFonts w:ascii="Times New Roman" w:hAnsi="Times New Roman" w:cs="Times New Roman"/>
        </w:rPr>
        <w:t xml:space="preserve"> «In his verbis tria nobis insinuantur exemplo Domini, per quae pervenit quis ad gloriam paradise, scilicet action bona, praedicatio vera et contemplatio tranquilla.</w:t>
      </w:r>
      <w:r>
        <w:rPr>
          <w:rFonts w:ascii="Times New Roman" w:hAnsi="Times New Roman" w:cs="Times New Roman"/>
        </w:rPr>
        <w:t xml:space="preserve"> Operatio insinuatur in hoc, </w:t>
      </w:r>
      <w:r w:rsidRPr="00425998">
        <w:rPr>
          <w:rFonts w:ascii="Times New Roman" w:hAnsi="Times New Roman" w:cs="Times New Roman"/>
        </w:rPr>
        <w:t>quod</w:t>
      </w:r>
      <w:r w:rsidRPr="00425998">
        <w:rPr>
          <w:rFonts w:ascii="Times New Roman" w:hAnsi="Times New Roman" w:cs="Times New Roman"/>
          <w:i/>
          <w:iCs/>
        </w:rPr>
        <w:t xml:space="preserve"> ibat per civitates et castella</w:t>
      </w:r>
      <w:r>
        <w:rPr>
          <w:rFonts w:ascii="Times New Roman" w:hAnsi="Times New Roman" w:cs="Times New Roman"/>
        </w:rPr>
        <w:t xml:space="preserve">; preadicatio vero in hoc, quod </w:t>
      </w:r>
      <w:r w:rsidRPr="00425998">
        <w:rPr>
          <w:rFonts w:ascii="Times New Roman" w:hAnsi="Times New Roman" w:cs="Times New Roman"/>
          <w:i/>
          <w:iCs/>
        </w:rPr>
        <w:t>ibat docens</w:t>
      </w:r>
      <w:r>
        <w:rPr>
          <w:rFonts w:ascii="Times New Roman" w:hAnsi="Times New Roman" w:cs="Times New Roman"/>
        </w:rPr>
        <w:t xml:space="preserve">; contemplatio in hoc, quod </w:t>
      </w:r>
      <w:r>
        <w:rPr>
          <w:rFonts w:ascii="Times New Roman" w:hAnsi="Times New Roman" w:cs="Times New Roman"/>
          <w:i/>
          <w:iCs/>
        </w:rPr>
        <w:t>iter faciens in Ierusalem</w:t>
      </w:r>
      <w:r>
        <w:rPr>
          <w:rFonts w:ascii="Times New Roman" w:hAnsi="Times New Roman" w:cs="Times New Roman"/>
        </w:rPr>
        <w:t>, quae est viso pacis, per anagogiam».</w:t>
      </w:r>
    </w:p>
  </w:footnote>
  <w:footnote w:id="13">
    <w:p w:rsidR="009402B3" w:rsidRDefault="009402B3">
      <w:pPr>
        <w:pStyle w:val="FootnoteText"/>
        <w:rPr>
          <w:rFonts w:ascii="Times New Roman" w:hAnsi="Times New Roman" w:cs="Times New Roman"/>
        </w:rPr>
      </w:pPr>
      <w:r w:rsidRPr="00963C9F">
        <w:rPr>
          <w:rStyle w:val="FootnoteReference"/>
          <w:rFonts w:ascii="Times New Roman" w:hAnsi="Times New Roman" w:cs="Times New Roman"/>
        </w:rPr>
        <w:footnoteRef/>
      </w:r>
      <w:r w:rsidRPr="00963C9F">
        <w:rPr>
          <w:rFonts w:ascii="Times New Roman" w:hAnsi="Times New Roman" w:cs="Times New Roman"/>
        </w:rPr>
        <w:t xml:space="preserve"> E’ possibile che la posizione della povertà come ultimo voto sia un segnale della sua </w:t>
      </w:r>
      <w:r>
        <w:rPr>
          <w:rFonts w:ascii="Times New Roman" w:hAnsi="Times New Roman" w:cs="Times New Roman"/>
        </w:rPr>
        <w:t>importanza.</w:t>
      </w:r>
    </w:p>
    <w:p w:rsidR="009402B3" w:rsidRDefault="009402B3">
      <w:pPr>
        <w:pStyle w:val="FootnoteText"/>
      </w:pPr>
    </w:p>
  </w:footnote>
  <w:footnote w:id="14">
    <w:p w:rsidR="009402B3" w:rsidRDefault="009402B3" w:rsidP="00B92238">
      <w:pPr>
        <w:pStyle w:val="FootnoteText"/>
        <w:jc w:val="both"/>
      </w:pPr>
      <w:r w:rsidRPr="00B92238">
        <w:rPr>
          <w:rStyle w:val="FootnoteReference"/>
          <w:rFonts w:ascii="Times New Roman" w:hAnsi="Times New Roman" w:cs="Times New Roman"/>
        </w:rPr>
        <w:footnoteRef/>
      </w:r>
      <w:r w:rsidRPr="00B92238">
        <w:rPr>
          <w:rFonts w:ascii="Times New Roman" w:hAnsi="Times New Roman" w:cs="Times New Roman"/>
        </w:rPr>
        <w:t xml:space="preserve"> </w:t>
      </w:r>
      <w:r>
        <w:rPr>
          <w:rFonts w:ascii="Times New Roman" w:hAnsi="Times New Roman" w:cs="Times New Roman"/>
        </w:rPr>
        <w:t>«Haec arca Christus est, qui in qualibet istarum hierarchiarum est hierarchia altissimus et dux noster, ut veniamus ad terram promissionis nobis repromissam. In cuius figuram dicit, se per triduum ambulare, quia facit nos per hanc triplicem hierarchiam semper sursum ascendere, nisi forte descendamus ad actiones. In cuius figuram Genesis vigesimo octavo dicitur, quod vidit “Iacob Angelos Dei ascendendes et descendentes in scala”; nullus vidit eos stantes. In quo signatur, quod semper in bono proficiendum est. Hoc enim est appropinquare ad supernam Ierusalem, cui non appropinquamus passibus corporibus, sed affectibus cordis et mentis». n. 72, 152.154.</w:t>
      </w:r>
    </w:p>
  </w:footnote>
  <w:footnote w:id="15">
    <w:p w:rsidR="009402B3" w:rsidRDefault="009402B3" w:rsidP="000D3AEA">
      <w:pPr>
        <w:pStyle w:val="FootnoteText"/>
        <w:jc w:val="both"/>
      </w:pPr>
      <w:r w:rsidRPr="000D3AEA">
        <w:rPr>
          <w:rStyle w:val="FootnoteReference"/>
          <w:rFonts w:ascii="Times New Roman" w:hAnsi="Times New Roman" w:cs="Times New Roman"/>
        </w:rPr>
        <w:footnoteRef/>
      </w:r>
      <w:r w:rsidRPr="000D3AEA">
        <w:rPr>
          <w:rFonts w:ascii="Times New Roman" w:hAnsi="Times New Roman" w:cs="Times New Roman"/>
        </w:rPr>
        <w:t xml:space="preserve"> </w:t>
      </w:r>
      <w:r>
        <w:rPr>
          <w:rFonts w:ascii="Times New Roman" w:hAnsi="Times New Roman" w:cs="Times New Roman"/>
        </w:rPr>
        <w:t xml:space="preserve">«Sic septimus dies Sabbati secundum quadriformem faciem rotae, id est intelligentiam Scripturae, septiformem habet acceptionem, ut dicatur Sabbatum corporalis quies, quies Christi, requies animarum, cessatio a perpetratione peccati, otium contemplationis, status religionis et pax sempiternae felicitatis». </w:t>
      </w:r>
      <w:r w:rsidRPr="00DD575E">
        <w:rPr>
          <w:rFonts w:ascii="Times New Roman" w:hAnsi="Times New Roman" w:cs="Times New Roman"/>
          <w:smallCaps/>
        </w:rPr>
        <w:t>San Bonaventura</w:t>
      </w:r>
      <w:r>
        <w:rPr>
          <w:rFonts w:ascii="Times New Roman" w:hAnsi="Times New Roman" w:cs="Times New Roman"/>
        </w:rPr>
        <w:t xml:space="preserve">, </w:t>
      </w:r>
      <w:r>
        <w:rPr>
          <w:rFonts w:ascii="Times New Roman" w:hAnsi="Times New Roman" w:cs="Times New Roman"/>
          <w:i/>
          <w:iCs/>
        </w:rPr>
        <w:t>Commento al V</w:t>
      </w:r>
      <w:r w:rsidRPr="00DD575E">
        <w:rPr>
          <w:rFonts w:ascii="Times New Roman" w:hAnsi="Times New Roman" w:cs="Times New Roman"/>
          <w:i/>
          <w:iCs/>
        </w:rPr>
        <w:t>angelo di San Luca</w:t>
      </w:r>
      <w:r>
        <w:rPr>
          <w:rFonts w:ascii="Times New Roman" w:hAnsi="Times New Roman" w:cs="Times New Roman"/>
        </w:rPr>
        <w:t>/4 (XXII-XXIV), a cura di Barbara Faes de Mottoni</w:t>
      </w:r>
      <w:r w:rsidRPr="00306EF1">
        <w:rPr>
          <w:rFonts w:ascii="Times New Roman" w:hAnsi="Times New Roman" w:cs="Times New Roman"/>
        </w:rPr>
        <w:t xml:space="preserve">, trad. di Oronzo Casto, </w:t>
      </w:r>
      <w:r>
        <w:rPr>
          <w:rFonts w:ascii="Times New Roman" w:hAnsi="Times New Roman" w:cs="Times New Roman"/>
        </w:rPr>
        <w:t xml:space="preserve">(Opere di San Bonaventura, vol. IX/4), </w:t>
      </w:r>
      <w:r w:rsidRPr="00306EF1">
        <w:rPr>
          <w:rFonts w:ascii="Times New Roman" w:hAnsi="Times New Roman" w:cs="Times New Roman"/>
        </w:rPr>
        <w:t>Roma</w:t>
      </w:r>
      <w:r>
        <w:rPr>
          <w:rFonts w:ascii="Times New Roman" w:hAnsi="Times New Roman" w:cs="Times New Roman"/>
        </w:rPr>
        <w:t>, Città Nuova, 2012, n. 69, 144.</w:t>
      </w:r>
    </w:p>
  </w:footnote>
  <w:footnote w:id="16">
    <w:p w:rsidR="009402B3" w:rsidRDefault="009402B3" w:rsidP="00440AA5">
      <w:pPr>
        <w:pStyle w:val="FootnoteText"/>
        <w:jc w:val="both"/>
      </w:pPr>
      <w:r w:rsidRPr="008C28DD">
        <w:rPr>
          <w:rStyle w:val="FootnoteReference"/>
          <w:rFonts w:ascii="Times New Roman" w:hAnsi="Times New Roman" w:cs="Times New Roman"/>
        </w:rPr>
        <w:footnoteRef/>
      </w:r>
      <w:r w:rsidRPr="008C28DD">
        <w:rPr>
          <w:rFonts w:ascii="Times New Roman" w:hAnsi="Times New Roman" w:cs="Times New Roman"/>
        </w:rPr>
        <w:t xml:space="preserve"> Si tratta</w:t>
      </w:r>
      <w:r>
        <w:rPr>
          <w:rFonts w:ascii="Times New Roman" w:hAnsi="Times New Roman" w:cs="Times New Roman"/>
        </w:rPr>
        <w:t xml:space="preserve"> dello schema di un sermone che Bonaventura pronunciò a Parigi, probabilmente nel 1255 o 1260, per la festa di San Giovanni evangelista. Cf. </w:t>
      </w:r>
      <w:r w:rsidRPr="008C28DD">
        <w:rPr>
          <w:rFonts w:ascii="Times New Roman" w:hAnsi="Times New Roman" w:cs="Times New Roman"/>
          <w:smallCaps/>
        </w:rPr>
        <w:t>San Bonaventura</w:t>
      </w:r>
      <w:r>
        <w:rPr>
          <w:rFonts w:ascii="Times New Roman" w:hAnsi="Times New Roman" w:cs="Times New Roman"/>
        </w:rPr>
        <w:t xml:space="preserve">, </w:t>
      </w:r>
      <w:r w:rsidRPr="008C28DD">
        <w:rPr>
          <w:rFonts w:ascii="Times New Roman" w:hAnsi="Times New Roman" w:cs="Times New Roman"/>
          <w:i/>
          <w:iCs/>
        </w:rPr>
        <w:t>Sermoni de tempore</w:t>
      </w:r>
      <w:r>
        <w:rPr>
          <w:rFonts w:ascii="Times New Roman" w:hAnsi="Times New Roman" w:cs="Times New Roman"/>
        </w:rPr>
        <w:t>, introduzione e note a cura di Jacques Guy Bougerol, trad. a cura di Carlo Paolazzi, (Opere di San Bonaventura</w:t>
      </w:r>
      <w:r w:rsidRPr="008C28DD">
        <w:rPr>
          <w:rFonts w:ascii="Times New Roman" w:hAnsi="Times New Roman" w:cs="Times New Roman"/>
        </w:rPr>
        <w:t xml:space="preserve">, vol. XI), </w:t>
      </w:r>
      <w:r>
        <w:rPr>
          <w:rFonts w:ascii="Times New Roman" w:hAnsi="Times New Roman" w:cs="Times New Roman"/>
        </w:rPr>
        <w:t xml:space="preserve">Roma, Città Nuova, 2003. </w:t>
      </w:r>
      <w:r w:rsidRPr="00FD1032">
        <w:rPr>
          <w:rFonts w:ascii="Times New Roman" w:hAnsi="Times New Roman" w:cs="Times New Roman"/>
          <w:i/>
          <w:iCs/>
        </w:rPr>
        <w:t>Sermone 129</w:t>
      </w:r>
      <w:r>
        <w:rPr>
          <w:rFonts w:ascii="Times New Roman" w:hAnsi="Times New Roman" w:cs="Times New Roman"/>
        </w:rPr>
        <w:t>, 270-273.</w:t>
      </w:r>
    </w:p>
  </w:footnote>
  <w:footnote w:id="17">
    <w:p w:rsidR="009402B3" w:rsidRDefault="009402B3" w:rsidP="00FE3FBD">
      <w:pPr>
        <w:autoSpaceDE w:val="0"/>
        <w:autoSpaceDN w:val="0"/>
        <w:adjustRightInd w:val="0"/>
        <w:spacing w:after="0" w:line="240" w:lineRule="auto"/>
        <w:jc w:val="both"/>
      </w:pPr>
      <w:r w:rsidRPr="00FE3FBD">
        <w:rPr>
          <w:rStyle w:val="FootnoteReference"/>
          <w:rFonts w:ascii="Times New Roman" w:hAnsi="Times New Roman" w:cs="Times New Roman"/>
          <w:sz w:val="20"/>
          <w:szCs w:val="20"/>
        </w:rPr>
        <w:footnoteRef/>
      </w:r>
      <w:r w:rsidRPr="00FE3FBD">
        <w:rPr>
          <w:rFonts w:ascii="Times New Roman" w:hAnsi="Times New Roman" w:cs="Times New Roman"/>
          <w:sz w:val="20"/>
          <w:szCs w:val="20"/>
        </w:rPr>
        <w:t xml:space="preserve"> </w:t>
      </w:r>
      <w:r>
        <w:rPr>
          <w:rFonts w:ascii="Times New Roman" w:hAnsi="Times New Roman" w:cs="Times New Roman"/>
          <w:sz w:val="20"/>
          <w:szCs w:val="20"/>
        </w:rPr>
        <w:t>«</w:t>
      </w:r>
      <w:r w:rsidRPr="00FE3FBD">
        <w:rPr>
          <w:rFonts w:ascii="Times New Roman" w:hAnsi="Times New Roman" w:cs="Times New Roman"/>
          <w:sz w:val="20"/>
          <w:szCs w:val="20"/>
        </w:rPr>
        <w:t>Anagogica vero est, ut, quia Christus animabus beatis perfecta coniunctione et confirmata non coniungitur ante octavam resurrectionis</w:t>
      </w:r>
      <w:r>
        <w:rPr>
          <w:rFonts w:ascii="Times New Roman" w:hAnsi="Times New Roman" w:cs="Times New Roman"/>
          <w:sz w:val="20"/>
          <w:szCs w:val="20"/>
        </w:rPr>
        <w:t>;</w:t>
      </w:r>
      <w:r w:rsidRPr="00FE3FBD">
        <w:rPr>
          <w:rFonts w:ascii="Times New Roman" w:hAnsi="Times New Roman" w:cs="Times New Roman"/>
          <w:sz w:val="20"/>
          <w:szCs w:val="20"/>
        </w:rPr>
        <w:t xml:space="preserve"> sic sponsus et sponsa ante octavum gradum coniungi non debent</w:t>
      </w:r>
      <w:r>
        <w:rPr>
          <w:rFonts w:ascii="Times New Roman" w:hAnsi="Times New Roman" w:cs="Times New Roman"/>
          <w:sz w:val="20"/>
          <w:szCs w:val="20"/>
        </w:rPr>
        <w:t>»</w:t>
      </w:r>
      <w:r w:rsidRPr="00FE3FBD">
        <w:rPr>
          <w:rFonts w:ascii="Times New Roman" w:hAnsi="Times New Roman" w:cs="Times New Roman"/>
          <w:sz w:val="20"/>
          <w:szCs w:val="20"/>
        </w:rPr>
        <w:t>.</w:t>
      </w:r>
      <w:r>
        <w:rPr>
          <w:rFonts w:ascii="Times New Roman" w:hAnsi="Times New Roman" w:cs="Times New Roman"/>
          <w:sz w:val="20"/>
          <w:szCs w:val="20"/>
        </w:rPr>
        <w:t xml:space="preserve"> </w:t>
      </w:r>
      <w:r w:rsidRPr="00FE3FBD">
        <w:rPr>
          <w:rFonts w:ascii="Times New Roman" w:hAnsi="Times New Roman" w:cs="Times New Roman"/>
          <w:i/>
          <w:iCs/>
          <w:sz w:val="20"/>
          <w:szCs w:val="20"/>
        </w:rPr>
        <w:t>In Sent</w:t>
      </w:r>
      <w:r>
        <w:rPr>
          <w:rFonts w:ascii="Times New Roman" w:hAnsi="Times New Roman" w:cs="Times New Roman"/>
          <w:sz w:val="20"/>
          <w:szCs w:val="20"/>
        </w:rPr>
        <w:t>. IV, XL.</w:t>
      </w:r>
    </w:p>
  </w:footnote>
  <w:footnote w:id="18">
    <w:p w:rsidR="009402B3" w:rsidRDefault="009402B3" w:rsidP="00440AA5">
      <w:pPr>
        <w:pStyle w:val="FootnoteText"/>
        <w:jc w:val="both"/>
      </w:pPr>
      <w:r w:rsidRPr="00440AA5">
        <w:rPr>
          <w:rStyle w:val="FootnoteReference"/>
          <w:rFonts w:ascii="Times New Roman" w:hAnsi="Times New Roman" w:cs="Times New Roman"/>
        </w:rPr>
        <w:footnoteRef/>
      </w:r>
      <w:r w:rsidRPr="00440AA5">
        <w:rPr>
          <w:rFonts w:ascii="Times New Roman" w:hAnsi="Times New Roman" w:cs="Times New Roman"/>
        </w:rPr>
        <w:t xml:space="preserve"> </w:t>
      </w:r>
      <w:r w:rsidRPr="00440AA5">
        <w:rPr>
          <w:rFonts w:ascii="Times New Roman" w:hAnsi="Times New Roman" w:cs="Times New Roman"/>
          <w:smallCaps/>
        </w:rPr>
        <w:t>San Bonaventura</w:t>
      </w:r>
      <w:r w:rsidRPr="00440AA5">
        <w:rPr>
          <w:rFonts w:ascii="Times New Roman" w:hAnsi="Times New Roman" w:cs="Times New Roman"/>
        </w:rPr>
        <w:t xml:space="preserve">, </w:t>
      </w:r>
      <w:r w:rsidRPr="00440AA5">
        <w:rPr>
          <w:rFonts w:ascii="Times New Roman" w:hAnsi="Times New Roman" w:cs="Times New Roman"/>
          <w:i/>
          <w:iCs/>
        </w:rPr>
        <w:t>Breviloquio</w:t>
      </w:r>
      <w:r>
        <w:rPr>
          <w:rFonts w:ascii="Times New Roman" w:hAnsi="Times New Roman" w:cs="Times New Roman"/>
        </w:rPr>
        <w:t>, Opuscoli teologici/2, (Opere di San Bonaventura, V/2), introduzione e note di Letterio Mauro, trad. di Mariano Aprea, Roma, Città Nuova, 1996.</w:t>
      </w:r>
    </w:p>
  </w:footnote>
  <w:footnote w:id="19">
    <w:p w:rsidR="009402B3" w:rsidRDefault="009402B3">
      <w:pPr>
        <w:pStyle w:val="FootnoteText"/>
      </w:pPr>
      <w:r w:rsidRPr="0017659C">
        <w:rPr>
          <w:rStyle w:val="FootnoteReference"/>
          <w:rFonts w:ascii="Times New Roman" w:hAnsi="Times New Roman" w:cs="Times New Roman"/>
        </w:rPr>
        <w:footnoteRef/>
      </w:r>
      <w:r w:rsidRPr="0017659C">
        <w:rPr>
          <w:rFonts w:ascii="Times New Roman" w:hAnsi="Times New Roman" w:cs="Times New Roman"/>
        </w:rPr>
        <w:t xml:space="preserve"> </w:t>
      </w:r>
      <w:r w:rsidRPr="0017659C">
        <w:rPr>
          <w:rFonts w:ascii="Times New Roman" w:hAnsi="Times New Roman" w:cs="Times New Roman"/>
          <w:i/>
          <w:iCs/>
        </w:rPr>
        <w:t>Ivi</w:t>
      </w:r>
      <w:r w:rsidRPr="0017659C">
        <w:rPr>
          <w:rFonts w:ascii="Times New Roman" w:hAnsi="Times New Roman" w:cs="Times New Roman"/>
        </w:rPr>
        <w:t>, prologo, n. 4, 35.</w:t>
      </w:r>
    </w:p>
  </w:footnote>
  <w:footnote w:id="20">
    <w:p w:rsidR="009402B3" w:rsidRDefault="009402B3" w:rsidP="00E253BC">
      <w:pPr>
        <w:pStyle w:val="FootnoteText"/>
        <w:jc w:val="both"/>
      </w:pPr>
      <w:r w:rsidRPr="00E253BC">
        <w:rPr>
          <w:rStyle w:val="FootnoteReference"/>
          <w:rFonts w:ascii="Times New Roman" w:hAnsi="Times New Roman" w:cs="Times New Roman"/>
        </w:rPr>
        <w:footnoteRef/>
      </w:r>
      <w:r w:rsidRPr="00E253BC">
        <w:rPr>
          <w:rFonts w:ascii="Times New Roman" w:hAnsi="Times New Roman" w:cs="Times New Roman"/>
        </w:rPr>
        <w:t xml:space="preserve"> </w:t>
      </w:r>
      <w:r w:rsidRPr="009C0A91">
        <w:rPr>
          <w:rFonts w:ascii="Times New Roman" w:hAnsi="Times New Roman" w:cs="Times New Roman"/>
          <w:i/>
          <w:iCs/>
        </w:rPr>
        <w:t>Ivi</w:t>
      </w:r>
      <w:r w:rsidRPr="00E253BC">
        <w:rPr>
          <w:rFonts w:ascii="Times New Roman" w:hAnsi="Times New Roman" w:cs="Times New Roman"/>
        </w:rPr>
        <w:t>, prologo, n</w:t>
      </w:r>
      <w:r>
        <w:rPr>
          <w:rFonts w:ascii="Times New Roman" w:hAnsi="Times New Roman" w:cs="Times New Roman"/>
        </w:rPr>
        <w:t>. 4, 39</w:t>
      </w:r>
      <w:r w:rsidRPr="00E253BC">
        <w:rPr>
          <w:rFonts w:ascii="Times New Roman" w:hAnsi="Times New Roman" w:cs="Times New Roman"/>
        </w:rPr>
        <w:t xml:space="preserve"> </w:t>
      </w:r>
      <w:r>
        <w:rPr>
          <w:rFonts w:ascii="Times New Roman" w:hAnsi="Times New Roman" w:cs="Times New Roman"/>
        </w:rPr>
        <w:t>«Et quia homo non dirigitur ad aeterna, nisi cognitiva agnoscat verum credendum, et operativa faciat bonum operandum, et affectiva suspiret ad Deum videndum et amandum et perfruendum: hinc est, quod Scriptura sacra, per Spiritum sanctum data, assumit librum creaturae, referendum in finem secumdum triplicem modum intelligentiae; ut sic per tropologiam habeamus notitiam agendorum viriliter; per allegoriam credendorum veraciter; per anagogiam desiderandorum delectabiliter; ut sic purgati per virtuosam operationem, illuminati per radiosam fidem et perfecti per ardentissimam caritatem, perveniamus tandem ad bravium felicitatis aeternae», 38.</w:t>
      </w:r>
    </w:p>
  </w:footnote>
  <w:footnote w:id="21">
    <w:p w:rsidR="009402B3" w:rsidRDefault="009402B3">
      <w:pPr>
        <w:pStyle w:val="FootnoteText"/>
      </w:pPr>
      <w:r w:rsidRPr="00593C58">
        <w:rPr>
          <w:rStyle w:val="FootnoteReference"/>
          <w:rFonts w:ascii="Times New Roman" w:hAnsi="Times New Roman" w:cs="Times New Roman"/>
        </w:rPr>
        <w:footnoteRef/>
      </w:r>
      <w:r w:rsidRPr="00593C58">
        <w:rPr>
          <w:rFonts w:ascii="Times New Roman" w:hAnsi="Times New Roman" w:cs="Times New Roman"/>
        </w:rPr>
        <w:t xml:space="preserve"> </w:t>
      </w:r>
      <w:r w:rsidRPr="00593C58">
        <w:rPr>
          <w:rFonts w:ascii="Times New Roman" w:hAnsi="Times New Roman" w:cs="Times New Roman"/>
          <w:i/>
          <w:iCs/>
        </w:rPr>
        <w:t>Ivi</w:t>
      </w:r>
      <w:r w:rsidRPr="00593C58">
        <w:rPr>
          <w:rFonts w:ascii="Times New Roman" w:hAnsi="Times New Roman" w:cs="Times New Roman"/>
        </w:rPr>
        <w:t>, prologo, 24.</w:t>
      </w:r>
    </w:p>
  </w:footnote>
  <w:footnote w:id="22">
    <w:p w:rsidR="009402B3" w:rsidRDefault="009402B3">
      <w:pPr>
        <w:pStyle w:val="FootnoteText"/>
      </w:pPr>
      <w:r w:rsidRPr="00AF380D">
        <w:rPr>
          <w:rStyle w:val="FootnoteReference"/>
          <w:rFonts w:ascii="Times New Roman" w:hAnsi="Times New Roman" w:cs="Times New Roman"/>
        </w:rPr>
        <w:footnoteRef/>
      </w:r>
      <w:r>
        <w:t xml:space="preserve"> </w:t>
      </w:r>
      <w:r w:rsidRPr="00593C58">
        <w:rPr>
          <w:rFonts w:ascii="Times New Roman" w:hAnsi="Times New Roman" w:cs="Times New Roman"/>
          <w:i/>
          <w:iCs/>
        </w:rPr>
        <w:t>Ivi</w:t>
      </w:r>
      <w:r>
        <w:rPr>
          <w:rFonts w:ascii="Times New Roman" w:hAnsi="Times New Roman" w:cs="Times New Roman"/>
        </w:rPr>
        <w:t>, prologo, 26.</w:t>
      </w:r>
    </w:p>
  </w:footnote>
  <w:footnote w:id="23">
    <w:p w:rsidR="009402B3" w:rsidRDefault="009402B3" w:rsidP="00553430">
      <w:pPr>
        <w:pStyle w:val="FootnoteText"/>
        <w:jc w:val="both"/>
      </w:pPr>
      <w:r w:rsidRPr="00BA6C77">
        <w:rPr>
          <w:rStyle w:val="FootnoteReference"/>
          <w:rFonts w:ascii="Times New Roman" w:hAnsi="Times New Roman" w:cs="Times New Roman"/>
        </w:rPr>
        <w:footnoteRef/>
      </w:r>
      <w:r w:rsidRPr="00BA6C77">
        <w:rPr>
          <w:rFonts w:ascii="Times New Roman" w:hAnsi="Times New Roman" w:cs="Times New Roman"/>
        </w:rPr>
        <w:t xml:space="preserve"> </w:t>
      </w:r>
      <w:r w:rsidRPr="00BA6C77">
        <w:rPr>
          <w:rFonts w:ascii="Times New Roman" w:hAnsi="Times New Roman" w:cs="Times New Roman"/>
          <w:smallCaps/>
        </w:rPr>
        <w:t>Henri de Lubac</w:t>
      </w:r>
      <w:r>
        <w:rPr>
          <w:rFonts w:ascii="Times New Roman" w:hAnsi="Times New Roman" w:cs="Times New Roman"/>
        </w:rPr>
        <w:t xml:space="preserve">, </w:t>
      </w:r>
      <w:r w:rsidRPr="00BA6C77">
        <w:rPr>
          <w:rFonts w:ascii="Times New Roman" w:hAnsi="Times New Roman" w:cs="Times New Roman"/>
          <w:i/>
          <w:iCs/>
        </w:rPr>
        <w:t>Esegesi medievale</w:t>
      </w:r>
      <w:r>
        <w:rPr>
          <w:rFonts w:ascii="Times New Roman" w:hAnsi="Times New Roman" w:cs="Times New Roman"/>
        </w:rPr>
        <w:t>, op. cit., IV, 331.</w:t>
      </w:r>
    </w:p>
  </w:footnote>
  <w:footnote w:id="24">
    <w:p w:rsidR="009402B3" w:rsidRDefault="009402B3" w:rsidP="00553430">
      <w:pPr>
        <w:pStyle w:val="FootnoteText"/>
        <w:jc w:val="both"/>
      </w:pPr>
      <w:r w:rsidRPr="007C5193">
        <w:rPr>
          <w:rStyle w:val="FootnoteReference"/>
          <w:rFonts w:ascii="Times New Roman" w:hAnsi="Times New Roman" w:cs="Times New Roman"/>
        </w:rPr>
        <w:footnoteRef/>
      </w:r>
      <w:r w:rsidRPr="007C5193">
        <w:rPr>
          <w:rFonts w:ascii="Times New Roman" w:hAnsi="Times New Roman" w:cs="Times New Roman"/>
        </w:rPr>
        <w:t xml:space="preserve"> </w:t>
      </w:r>
      <w:r w:rsidRPr="007C5193">
        <w:rPr>
          <w:rFonts w:ascii="Times New Roman" w:hAnsi="Times New Roman" w:cs="Times New Roman"/>
          <w:smallCaps/>
        </w:rPr>
        <w:t>San Bonaventura</w:t>
      </w:r>
      <w:r w:rsidRPr="007C5193">
        <w:rPr>
          <w:rFonts w:ascii="Times New Roman" w:hAnsi="Times New Roman" w:cs="Times New Roman"/>
        </w:rPr>
        <w:t xml:space="preserve">, </w:t>
      </w:r>
      <w:r w:rsidRPr="00553430">
        <w:rPr>
          <w:rFonts w:ascii="Times New Roman" w:hAnsi="Times New Roman" w:cs="Times New Roman"/>
          <w:i/>
          <w:iCs/>
        </w:rPr>
        <w:t>Riconduzione delle arti alla teologia</w:t>
      </w:r>
      <w:r>
        <w:rPr>
          <w:rFonts w:ascii="Times New Roman" w:hAnsi="Times New Roman" w:cs="Times New Roman"/>
        </w:rPr>
        <w:t>, Opuscoli teologici/1, (Opere di san Bonaventura V/1), trad. di Silvana Martignoni, Roma, Città Nuova, 1993.</w:t>
      </w:r>
    </w:p>
  </w:footnote>
  <w:footnote w:id="25">
    <w:p w:rsidR="009402B3" w:rsidRDefault="009402B3" w:rsidP="00553430">
      <w:pPr>
        <w:pStyle w:val="FootnoteText"/>
        <w:jc w:val="both"/>
      </w:pPr>
      <w:r w:rsidRPr="00B45B0A">
        <w:rPr>
          <w:rStyle w:val="FootnoteReference"/>
          <w:rFonts w:ascii="Times New Roman" w:hAnsi="Times New Roman" w:cs="Times New Roman"/>
        </w:rPr>
        <w:footnoteRef/>
      </w:r>
      <w:r w:rsidRPr="00B45B0A">
        <w:rPr>
          <w:rFonts w:ascii="Times New Roman" w:hAnsi="Times New Roman" w:cs="Times New Roman"/>
        </w:rPr>
        <w:t xml:space="preserve"> </w:t>
      </w:r>
      <w:r w:rsidRPr="00B45B0A">
        <w:rPr>
          <w:rFonts w:ascii="Times New Roman" w:hAnsi="Times New Roman" w:cs="Times New Roman"/>
          <w:smallCaps/>
        </w:rPr>
        <w:t>Elisa Cuttini</w:t>
      </w:r>
      <w:r w:rsidRPr="00B45B0A">
        <w:rPr>
          <w:rFonts w:ascii="Times New Roman" w:hAnsi="Times New Roman" w:cs="Times New Roman"/>
        </w:rPr>
        <w:t xml:space="preserve">, </w:t>
      </w:r>
      <w:r>
        <w:rPr>
          <w:rFonts w:ascii="Times New Roman" w:hAnsi="Times New Roman" w:cs="Times New Roman"/>
          <w:i/>
          <w:iCs/>
        </w:rPr>
        <w:t xml:space="preserve">Ritorno a Dio, </w:t>
      </w:r>
      <w:r w:rsidRPr="00B45B0A">
        <w:rPr>
          <w:rFonts w:ascii="Times New Roman" w:hAnsi="Times New Roman" w:cs="Times New Roman"/>
        </w:rPr>
        <w:t xml:space="preserve">op. cit., </w:t>
      </w:r>
      <w:r>
        <w:rPr>
          <w:rFonts w:ascii="Times New Roman" w:hAnsi="Times New Roman" w:cs="Times New Roman"/>
        </w:rPr>
        <w:t>44;</w:t>
      </w:r>
      <w:r>
        <w:rPr>
          <w:rFonts w:ascii="Times New Roman" w:hAnsi="Times New Roman" w:cs="Times New Roman"/>
          <w:i/>
          <w:iCs/>
        </w:rPr>
        <w:t xml:space="preserve"> </w:t>
      </w:r>
      <w:r>
        <w:rPr>
          <w:rFonts w:ascii="Times New Roman" w:hAnsi="Times New Roman" w:cs="Times New Roman"/>
        </w:rPr>
        <w:t xml:space="preserve">e prosegue la studiosa: </w:t>
      </w:r>
      <w:r w:rsidRPr="00553430">
        <w:rPr>
          <w:rFonts w:ascii="Times New Roman" w:hAnsi="Times New Roman" w:cs="Times New Roman"/>
        </w:rPr>
        <w:t>«per prospettare</w:t>
      </w:r>
      <w:r>
        <w:rPr>
          <w:rFonts w:ascii="Times New Roman" w:hAnsi="Times New Roman" w:cs="Times New Roman"/>
        </w:rPr>
        <w:t xml:space="preserve"> le implicazioni che comporta l’alternativa tra </w:t>
      </w:r>
      <w:r>
        <w:rPr>
          <w:rFonts w:ascii="Times New Roman" w:hAnsi="Times New Roman" w:cs="Times New Roman"/>
          <w:i/>
          <w:iCs/>
        </w:rPr>
        <w:t>reductio</w:t>
      </w:r>
      <w:r>
        <w:rPr>
          <w:rFonts w:ascii="Times New Roman" w:hAnsi="Times New Roman" w:cs="Times New Roman"/>
        </w:rPr>
        <w:t xml:space="preserve"> alla Sacra Scrittura o alla teologia, basti pensare che la teologia potrebbe essere intesa come la prima tra le scienze soltanto in virtù del suo oggetto, ma si tratterebbe comunque di una conoscenza sostanzialmente umana. La </w:t>
      </w:r>
      <w:r>
        <w:rPr>
          <w:rFonts w:ascii="Times New Roman" w:hAnsi="Times New Roman" w:cs="Times New Roman"/>
          <w:i/>
          <w:iCs/>
        </w:rPr>
        <w:t>reductio ad theologiam</w:t>
      </w:r>
      <w:r>
        <w:rPr>
          <w:rFonts w:ascii="Times New Roman" w:hAnsi="Times New Roman" w:cs="Times New Roman"/>
        </w:rPr>
        <w:t xml:space="preserve"> si risolverebbe dunque in una prevaricazione, che sarebbe problematico cercare di fondare, da parte di una delle conoscenze coltivate dall’uomo sulle altre. Posto, invece, che Sacra Scrittura indichi specificamente la verità rivelata, la r</w:t>
      </w:r>
      <w:r>
        <w:rPr>
          <w:rFonts w:ascii="Times New Roman" w:hAnsi="Times New Roman" w:cs="Times New Roman"/>
          <w:i/>
          <w:iCs/>
        </w:rPr>
        <w:t>eductio ad sacram Scripturam</w:t>
      </w:r>
      <w:r>
        <w:rPr>
          <w:rFonts w:ascii="Times New Roman" w:hAnsi="Times New Roman" w:cs="Times New Roman"/>
        </w:rPr>
        <w:t xml:space="preserve"> sancirebbe il valore dell’autorità di Dio nei confronti della realtà</w:t>
      </w:r>
      <w:r w:rsidRPr="00553430">
        <w:rPr>
          <w:rFonts w:ascii="Times New Roman" w:hAnsi="Times New Roman" w:cs="Times New Roman"/>
        </w:rPr>
        <w:t xml:space="preserve"> terrena», 44.</w:t>
      </w:r>
    </w:p>
  </w:footnote>
  <w:footnote w:id="26">
    <w:p w:rsidR="009402B3" w:rsidRDefault="009402B3">
      <w:pPr>
        <w:pStyle w:val="FootnoteText"/>
      </w:pPr>
      <w:r w:rsidRPr="00B45B0A">
        <w:rPr>
          <w:rStyle w:val="FootnoteReference"/>
          <w:rFonts w:ascii="Times New Roman" w:hAnsi="Times New Roman" w:cs="Times New Roman"/>
        </w:rPr>
        <w:footnoteRef/>
      </w:r>
      <w:r w:rsidRPr="00B45B0A">
        <w:rPr>
          <w:rFonts w:ascii="Times New Roman" w:hAnsi="Times New Roman" w:cs="Times New Roman"/>
        </w:rPr>
        <w:t xml:space="preserve"> </w:t>
      </w:r>
      <w:r w:rsidRPr="007C5193">
        <w:rPr>
          <w:rFonts w:ascii="Times New Roman" w:hAnsi="Times New Roman" w:cs="Times New Roman"/>
          <w:smallCaps/>
        </w:rPr>
        <w:t>San Bonaventura</w:t>
      </w:r>
      <w:r w:rsidRPr="007C5193">
        <w:rPr>
          <w:rFonts w:ascii="Times New Roman" w:hAnsi="Times New Roman" w:cs="Times New Roman"/>
        </w:rPr>
        <w:t xml:space="preserve">, </w:t>
      </w:r>
      <w:r w:rsidRPr="00553430">
        <w:rPr>
          <w:rFonts w:ascii="Times New Roman" w:hAnsi="Times New Roman" w:cs="Times New Roman"/>
          <w:i/>
          <w:iCs/>
        </w:rPr>
        <w:t>Riconduzione delle arti alla teologia,</w:t>
      </w:r>
      <w:r w:rsidRPr="00553430">
        <w:rPr>
          <w:rFonts w:ascii="Times New Roman" w:hAnsi="Times New Roman" w:cs="Times New Roman"/>
        </w:rPr>
        <w:t xml:space="preserve"> </w:t>
      </w:r>
      <w:r>
        <w:rPr>
          <w:rFonts w:ascii="Times New Roman" w:hAnsi="Times New Roman" w:cs="Times New Roman"/>
        </w:rPr>
        <w:t xml:space="preserve">op. cit. </w:t>
      </w:r>
      <w:r w:rsidRPr="00B45B0A">
        <w:rPr>
          <w:rFonts w:ascii="Times New Roman" w:hAnsi="Times New Roman" w:cs="Times New Roman"/>
        </w:rPr>
        <w:t xml:space="preserve">n. 5, </w:t>
      </w:r>
      <w:r w:rsidRPr="001572BB">
        <w:rPr>
          <w:rFonts w:ascii="Times New Roman" w:hAnsi="Times New Roman" w:cs="Times New Roman"/>
        </w:rPr>
        <w:t>44-45.</w:t>
      </w:r>
    </w:p>
  </w:footnote>
  <w:footnote w:id="27">
    <w:p w:rsidR="009402B3" w:rsidRDefault="009402B3">
      <w:pPr>
        <w:pStyle w:val="FootnoteText"/>
      </w:pPr>
      <w:r w:rsidRPr="00DE2231">
        <w:rPr>
          <w:rStyle w:val="FootnoteReference"/>
          <w:rFonts w:ascii="Times New Roman" w:hAnsi="Times New Roman" w:cs="Times New Roman"/>
        </w:rPr>
        <w:footnoteRef/>
      </w:r>
      <w:r w:rsidRPr="00DE2231">
        <w:rPr>
          <w:rFonts w:ascii="Times New Roman" w:hAnsi="Times New Roman" w:cs="Times New Roman"/>
        </w:rPr>
        <w:t xml:space="preserve"> </w:t>
      </w:r>
      <w:r w:rsidRPr="00926E4E">
        <w:rPr>
          <w:rFonts w:ascii="Times New Roman" w:hAnsi="Times New Roman" w:cs="Times New Roman"/>
          <w:i/>
          <w:iCs/>
        </w:rPr>
        <w:t>Ivi</w:t>
      </w:r>
      <w:r w:rsidRPr="001572BB">
        <w:rPr>
          <w:rFonts w:ascii="Times New Roman" w:hAnsi="Times New Roman" w:cs="Times New Roman"/>
        </w:rPr>
        <w:t>, 44-45.</w:t>
      </w:r>
    </w:p>
  </w:footnote>
  <w:footnote w:id="28">
    <w:p w:rsidR="009402B3" w:rsidRDefault="009402B3" w:rsidP="00DE2231">
      <w:pPr>
        <w:pStyle w:val="FootnoteText"/>
        <w:jc w:val="both"/>
      </w:pPr>
      <w:r w:rsidRPr="00DE2231">
        <w:rPr>
          <w:rStyle w:val="FootnoteReference"/>
          <w:rFonts w:ascii="Times New Roman" w:hAnsi="Times New Roman" w:cs="Times New Roman"/>
        </w:rPr>
        <w:footnoteRef/>
      </w:r>
      <w:r w:rsidRPr="00DE2231">
        <w:rPr>
          <w:rFonts w:ascii="Times New Roman" w:hAnsi="Times New Roman" w:cs="Times New Roman"/>
        </w:rPr>
        <w:t xml:space="preserve"> In questo passo troviamo anche</w:t>
      </w:r>
      <w:r>
        <w:rPr>
          <w:rFonts w:ascii="Times New Roman" w:hAnsi="Times New Roman" w:cs="Times New Roman"/>
        </w:rPr>
        <w:t xml:space="preserve"> il riferimento ad Ugo di san Vittore, </w:t>
      </w:r>
      <w:r>
        <w:rPr>
          <w:rFonts w:ascii="Times New Roman" w:hAnsi="Times New Roman" w:cs="Times New Roman"/>
          <w:i/>
          <w:iCs/>
        </w:rPr>
        <w:t>“Hugo vero omnia haec”</w:t>
      </w:r>
      <w:r>
        <w:rPr>
          <w:rFonts w:ascii="Times New Roman" w:hAnsi="Times New Roman" w:cs="Times New Roman"/>
        </w:rPr>
        <w:t>, colui che riassume, agli occhi di Bonaventura, la sapienza e l’equilibrio degli altri dottori.</w:t>
      </w:r>
    </w:p>
  </w:footnote>
  <w:footnote w:id="29">
    <w:p w:rsidR="009402B3" w:rsidRPr="001572BB" w:rsidRDefault="009402B3" w:rsidP="001572BB">
      <w:pPr>
        <w:pStyle w:val="FootnoteText"/>
        <w:jc w:val="both"/>
        <w:rPr>
          <w:rFonts w:ascii="Times New Roman" w:hAnsi="Times New Roman" w:cs="Times New Roman"/>
          <w:lang w:val="en-US"/>
        </w:rPr>
      </w:pPr>
      <w:r w:rsidRPr="00DE2231">
        <w:rPr>
          <w:rStyle w:val="FootnoteReference"/>
          <w:rFonts w:ascii="Times New Roman" w:hAnsi="Times New Roman" w:cs="Times New Roman"/>
        </w:rPr>
        <w:footnoteRef/>
      </w:r>
      <w:r w:rsidRPr="00AC0FAE">
        <w:rPr>
          <w:rFonts w:ascii="Times New Roman" w:hAnsi="Times New Roman" w:cs="Times New Roman"/>
          <w:lang w:val="en-US"/>
        </w:rPr>
        <w:t xml:space="preserve"> </w:t>
      </w:r>
      <w:r w:rsidRPr="00AC0FAE">
        <w:rPr>
          <w:rFonts w:ascii="Times New Roman" w:hAnsi="Times New Roman" w:cs="Times New Roman"/>
          <w:i/>
          <w:iCs/>
          <w:lang w:val="en-US"/>
        </w:rPr>
        <w:t>Ivi</w:t>
      </w:r>
      <w:r w:rsidRPr="00AC0FAE">
        <w:rPr>
          <w:rFonts w:ascii="Times New Roman" w:hAnsi="Times New Roman" w:cs="Times New Roman"/>
          <w:lang w:val="en-US"/>
        </w:rPr>
        <w:t>, n. 7; «Unde valde apte possunt reduci sex istae illuminationes a</w:t>
      </w:r>
      <w:r>
        <w:rPr>
          <w:rFonts w:ascii="Times New Roman" w:hAnsi="Times New Roman" w:cs="Times New Roman"/>
          <w:lang w:val="en-US"/>
        </w:rPr>
        <w:t>d</w:t>
      </w:r>
      <w:r w:rsidRPr="00AC0FAE">
        <w:rPr>
          <w:rFonts w:ascii="Times New Roman" w:hAnsi="Times New Roman" w:cs="Times New Roman"/>
          <w:lang w:val="en-US"/>
        </w:rPr>
        <w:t xml:space="preserve"> senarium formationum sive illuminationum, in quibus factus est mundus, et cognitio sacrae </w:t>
      </w:r>
      <w:r>
        <w:rPr>
          <w:rFonts w:ascii="Times New Roman" w:hAnsi="Times New Roman" w:cs="Times New Roman"/>
          <w:lang w:val="en-US"/>
        </w:rPr>
        <w:t>S</w:t>
      </w:r>
      <w:r w:rsidRPr="00AC0FAE">
        <w:rPr>
          <w:rFonts w:ascii="Times New Roman" w:hAnsi="Times New Roman" w:cs="Times New Roman"/>
          <w:lang w:val="en-US"/>
        </w:rPr>
        <w:t>cripturae primae formationis lucis, respo</w:t>
      </w:r>
      <w:r>
        <w:rPr>
          <w:rFonts w:ascii="Times New Roman" w:hAnsi="Times New Roman" w:cs="Times New Roman"/>
          <w:lang w:val="en-US"/>
        </w:rPr>
        <w:t>ndeat; et sic deinceps per ordinem</w:t>
      </w:r>
      <w:r w:rsidRPr="00AC0FAE">
        <w:rPr>
          <w:rFonts w:ascii="Times New Roman" w:hAnsi="Times New Roman" w:cs="Times New Roman"/>
          <w:lang w:val="en-US"/>
        </w:rPr>
        <w:t xml:space="preserve">. </w:t>
      </w:r>
      <w:r>
        <w:rPr>
          <w:rFonts w:ascii="Times New Roman" w:hAnsi="Times New Roman" w:cs="Times New Roman"/>
          <w:lang w:val="en-US"/>
        </w:rPr>
        <w:t xml:space="preserve">Et sicut omnes illae ab una luce habebant originem, sic omnes istae cognitions ad cognitionem sacrae Scripturae ordinantur, in ea clauduntur et in illa perficiuntur, et mediante illa ad aeternam illuminationem ordinantur. Unde omnis nostra cognitio in cognitione sacrae Scripturae debet habere statuum, et maxime quantum ad intellectum anagogiae, per quem illuminatio refertur in Deum, unde habuit ortum. Et ideo ibi completus est circulus, completus est senarius, et propterea status», </w:t>
      </w:r>
      <w:r w:rsidRPr="001572BB">
        <w:rPr>
          <w:rFonts w:ascii="Times New Roman" w:hAnsi="Times New Roman" w:cs="Times New Roman"/>
          <w:lang w:val="en-US"/>
        </w:rPr>
        <w:t>44-47.</w:t>
      </w:r>
    </w:p>
    <w:p w:rsidR="009402B3" w:rsidRDefault="009402B3">
      <w:pPr>
        <w:pStyle w:val="FootnoteText"/>
      </w:pPr>
      <w:r>
        <w:rPr>
          <w:rFonts w:ascii="Times New Roman" w:hAnsi="Times New Roman" w:cs="Times New Roman"/>
        </w:rPr>
        <w:t xml:space="preserve">Cf. anche </w:t>
      </w:r>
      <w:r w:rsidRPr="00926E4E">
        <w:rPr>
          <w:rFonts w:ascii="Times New Roman" w:hAnsi="Times New Roman" w:cs="Times New Roman"/>
          <w:smallCaps/>
        </w:rPr>
        <w:t>Elisa Cuttini</w:t>
      </w:r>
      <w:r>
        <w:rPr>
          <w:rFonts w:ascii="Times New Roman" w:hAnsi="Times New Roman" w:cs="Times New Roman"/>
        </w:rPr>
        <w:t xml:space="preserve">, </w:t>
      </w:r>
      <w:r w:rsidRPr="00926E4E">
        <w:rPr>
          <w:rFonts w:ascii="Times New Roman" w:hAnsi="Times New Roman" w:cs="Times New Roman"/>
          <w:i/>
          <w:iCs/>
        </w:rPr>
        <w:t>Ritorno a Dio</w:t>
      </w:r>
      <w:r>
        <w:rPr>
          <w:rFonts w:ascii="Times New Roman" w:hAnsi="Times New Roman" w:cs="Times New Roman"/>
        </w:rPr>
        <w:t>, op. cit., parte seconda, cap. I, n. 2, “Le tappe del ritorno a Dio”, 87-90.</w:t>
      </w:r>
    </w:p>
  </w:footnote>
  <w:footnote w:id="30">
    <w:p w:rsidR="009402B3" w:rsidRDefault="009402B3">
      <w:pPr>
        <w:pStyle w:val="FootnoteText"/>
      </w:pPr>
      <w:r w:rsidRPr="006F0D28">
        <w:rPr>
          <w:rStyle w:val="FootnoteReference"/>
          <w:rFonts w:ascii="Times New Roman" w:hAnsi="Times New Roman" w:cs="Times New Roman"/>
        </w:rPr>
        <w:footnoteRef/>
      </w:r>
      <w:r w:rsidRPr="006F0D28">
        <w:rPr>
          <w:rFonts w:ascii="Times New Roman" w:hAnsi="Times New Roman" w:cs="Times New Roman"/>
        </w:rPr>
        <w:t xml:space="preserve"> Vedi </w:t>
      </w:r>
      <w:r w:rsidRPr="001572BB">
        <w:rPr>
          <w:rFonts w:ascii="Times New Roman" w:hAnsi="Times New Roman" w:cs="Times New Roman"/>
          <w:i/>
          <w:iCs/>
        </w:rPr>
        <w:t>supra</w:t>
      </w:r>
      <w:r>
        <w:rPr>
          <w:rFonts w:ascii="Times New Roman" w:hAnsi="Times New Roman" w:cs="Times New Roman"/>
        </w:rPr>
        <w:t>.</w:t>
      </w:r>
    </w:p>
  </w:footnote>
  <w:footnote w:id="31">
    <w:p w:rsidR="009402B3" w:rsidRDefault="009402B3">
      <w:pPr>
        <w:pStyle w:val="FootnoteText"/>
      </w:pPr>
      <w:r w:rsidRPr="001D4DAC">
        <w:rPr>
          <w:rStyle w:val="FootnoteReference"/>
          <w:rFonts w:ascii="Times New Roman" w:hAnsi="Times New Roman" w:cs="Times New Roman"/>
        </w:rPr>
        <w:footnoteRef/>
      </w:r>
      <w:r w:rsidRPr="001D4DAC">
        <w:rPr>
          <w:rFonts w:ascii="Times New Roman" w:hAnsi="Times New Roman" w:cs="Times New Roman"/>
        </w:rPr>
        <w:t xml:space="preserve"> </w:t>
      </w:r>
      <w:r w:rsidRPr="001D4DAC">
        <w:rPr>
          <w:rFonts w:ascii="Times New Roman" w:hAnsi="Times New Roman" w:cs="Times New Roman"/>
          <w:smallCaps/>
        </w:rPr>
        <w:t>Elisa Cuttini</w:t>
      </w:r>
      <w:r w:rsidRPr="001D4DAC">
        <w:rPr>
          <w:rFonts w:ascii="Times New Roman" w:hAnsi="Times New Roman" w:cs="Times New Roman"/>
        </w:rPr>
        <w:t xml:space="preserve">, </w:t>
      </w:r>
      <w:r w:rsidRPr="001D4DAC">
        <w:rPr>
          <w:rFonts w:ascii="Times New Roman" w:hAnsi="Times New Roman" w:cs="Times New Roman"/>
          <w:i/>
          <w:iCs/>
        </w:rPr>
        <w:t>Ritorno a Dio</w:t>
      </w:r>
      <w:r w:rsidRPr="001D4DAC">
        <w:rPr>
          <w:rFonts w:ascii="Times New Roman" w:hAnsi="Times New Roman" w:cs="Times New Roman"/>
        </w:rPr>
        <w:t>, op. cit</w:t>
      </w:r>
      <w:r>
        <w:rPr>
          <w:rFonts w:ascii="Times New Roman" w:hAnsi="Times New Roman" w:cs="Times New Roman"/>
        </w:rPr>
        <w:t>., 92.</w:t>
      </w:r>
    </w:p>
  </w:footnote>
  <w:footnote w:id="32">
    <w:p w:rsidR="009402B3" w:rsidRDefault="009402B3" w:rsidP="00780DC7">
      <w:pPr>
        <w:pStyle w:val="FootnoteText"/>
        <w:jc w:val="both"/>
      </w:pPr>
      <w:r w:rsidRPr="00780DC7">
        <w:rPr>
          <w:rStyle w:val="FootnoteReference"/>
          <w:rFonts w:ascii="Times New Roman" w:hAnsi="Times New Roman" w:cs="Times New Roman"/>
        </w:rPr>
        <w:footnoteRef/>
      </w:r>
      <w:r w:rsidRPr="00780DC7">
        <w:rPr>
          <w:rFonts w:ascii="Times New Roman" w:hAnsi="Times New Roman" w:cs="Times New Roman"/>
        </w:rPr>
        <w:t xml:space="preserve"> </w:t>
      </w:r>
      <w:r>
        <w:rPr>
          <w:rFonts w:ascii="Times New Roman" w:hAnsi="Times New Roman" w:cs="Times New Roman"/>
        </w:rPr>
        <w:t xml:space="preserve">«Perficit per excessus mentales et sapientiae perceptiones suauissimas». </w:t>
      </w:r>
      <w:r w:rsidRPr="00E76AFA">
        <w:rPr>
          <w:rFonts w:ascii="Times New Roman" w:hAnsi="Times New Roman" w:cs="Times New Roman"/>
          <w:smallCaps/>
        </w:rPr>
        <w:t>San Bonaventura</w:t>
      </w:r>
      <w:r>
        <w:rPr>
          <w:rFonts w:ascii="Times New Roman" w:hAnsi="Times New Roman" w:cs="Times New Roman"/>
        </w:rPr>
        <w:t xml:space="preserve">, </w:t>
      </w:r>
      <w:r w:rsidRPr="00780DC7">
        <w:rPr>
          <w:rFonts w:ascii="Times New Roman" w:hAnsi="Times New Roman" w:cs="Times New Roman"/>
          <w:i/>
          <w:iCs/>
        </w:rPr>
        <w:t>Itinerarium mentis in Deum</w:t>
      </w:r>
      <w:r>
        <w:rPr>
          <w:rFonts w:ascii="Times New Roman" w:hAnsi="Times New Roman" w:cs="Times New Roman"/>
        </w:rPr>
        <w:t xml:space="preserve">, in </w:t>
      </w:r>
      <w:r w:rsidRPr="00780DC7">
        <w:rPr>
          <w:rFonts w:ascii="Times New Roman" w:hAnsi="Times New Roman" w:cs="Times New Roman"/>
          <w:i/>
          <w:iCs/>
        </w:rPr>
        <w:t>La letteratura francescana</w:t>
      </w:r>
      <w:r>
        <w:rPr>
          <w:rFonts w:ascii="Times New Roman" w:hAnsi="Times New Roman" w:cs="Times New Roman"/>
        </w:rPr>
        <w:t xml:space="preserve">, vol. III, </w:t>
      </w:r>
      <w:r w:rsidRPr="00780DC7">
        <w:rPr>
          <w:rFonts w:ascii="Times New Roman" w:hAnsi="Times New Roman" w:cs="Times New Roman"/>
          <w:i/>
          <w:iCs/>
        </w:rPr>
        <w:t>Bonaventura: la perfezione cristiana</w:t>
      </w:r>
      <w:r>
        <w:rPr>
          <w:rFonts w:ascii="Times New Roman" w:hAnsi="Times New Roman" w:cs="Times New Roman"/>
        </w:rPr>
        <w:t>, a cura di Claudio Leonardi, Fondazione Lorenzo Valla- Arnoldo Mondadori Editore, 2012; 80-81.</w:t>
      </w:r>
    </w:p>
  </w:footnote>
  <w:footnote w:id="33">
    <w:p w:rsidR="009402B3" w:rsidRDefault="009402B3" w:rsidP="00E76AFA">
      <w:pPr>
        <w:pStyle w:val="FootnoteText"/>
        <w:jc w:val="both"/>
      </w:pPr>
      <w:r w:rsidRPr="00E76AFA">
        <w:rPr>
          <w:rStyle w:val="FootnoteReference"/>
          <w:rFonts w:ascii="Times New Roman" w:hAnsi="Times New Roman" w:cs="Times New Roman"/>
        </w:rPr>
        <w:footnoteRef/>
      </w:r>
      <w:r w:rsidRPr="00E76AFA">
        <w:rPr>
          <w:rFonts w:ascii="Times New Roman" w:hAnsi="Times New Roman" w:cs="Times New Roman"/>
        </w:rPr>
        <w:t xml:space="preserve"> </w:t>
      </w:r>
      <w:r>
        <w:rPr>
          <w:rFonts w:ascii="Times New Roman" w:hAnsi="Times New Roman" w:cs="Times New Roman"/>
        </w:rPr>
        <w:t xml:space="preserve">«Si autem queras, quomodo haec fiant, interroga gratiam, non doctrinam; desiderium, non intellectum; gemitum orationis, non studium lectionis; sponsum, non magistrum; Deum, non hominem; caliginem, non claritatem; non lucem, sed ignem totaliter inflammantem et in Deum excessiuis unctionibus et ardentissimis affectionibus transferentem». </w:t>
      </w:r>
      <w:r w:rsidRPr="00E76AFA">
        <w:rPr>
          <w:rFonts w:ascii="Times New Roman" w:hAnsi="Times New Roman" w:cs="Times New Roman"/>
          <w:i/>
          <w:iCs/>
        </w:rPr>
        <w:t>Ivi</w:t>
      </w:r>
      <w:r>
        <w:rPr>
          <w:rFonts w:ascii="Times New Roman" w:hAnsi="Times New Roman" w:cs="Times New Roman"/>
        </w:rPr>
        <w:t>, 108.</w:t>
      </w:r>
    </w:p>
  </w:footnote>
  <w:footnote w:id="34">
    <w:p w:rsidR="009402B3" w:rsidRDefault="009402B3" w:rsidP="00E76AFA">
      <w:pPr>
        <w:pStyle w:val="FootnoteText"/>
        <w:jc w:val="both"/>
      </w:pPr>
      <w:r w:rsidRPr="00E76AFA">
        <w:rPr>
          <w:rStyle w:val="FootnoteReference"/>
          <w:rFonts w:ascii="Times New Roman" w:hAnsi="Times New Roman" w:cs="Times New Roman"/>
        </w:rPr>
        <w:footnoteRef/>
      </w:r>
      <w:r w:rsidRPr="00E76AFA">
        <w:rPr>
          <w:rFonts w:ascii="Times New Roman" w:hAnsi="Times New Roman" w:cs="Times New Roman"/>
        </w:rPr>
        <w:t xml:space="preserve"> In modo simile,</w:t>
      </w:r>
      <w:r>
        <w:rPr>
          <w:rFonts w:ascii="Times New Roman" w:hAnsi="Times New Roman" w:cs="Times New Roman"/>
        </w:rPr>
        <w:t xml:space="preserve"> e ancora più spesso, è avvenuto e avviene per l’interpretazione della </w:t>
      </w:r>
      <w:r w:rsidRPr="00B02242">
        <w:rPr>
          <w:rFonts w:ascii="Times New Roman" w:hAnsi="Times New Roman" w:cs="Times New Roman"/>
          <w:i/>
          <w:iCs/>
        </w:rPr>
        <w:t>Divina Commedia</w:t>
      </w:r>
      <w:r>
        <w:rPr>
          <w:rFonts w:ascii="Times New Roman" w:hAnsi="Times New Roman" w:cs="Times New Roman"/>
        </w:rPr>
        <w:t xml:space="preserve"> fatta con la volontà di prescindere dalla visione di fede che Dante ha e offre.</w:t>
      </w:r>
    </w:p>
  </w:footnote>
  <w:footnote w:id="35">
    <w:p w:rsidR="009402B3" w:rsidRDefault="009402B3" w:rsidP="002C2985">
      <w:pPr>
        <w:pStyle w:val="FootnoteText"/>
        <w:jc w:val="both"/>
      </w:pPr>
      <w:r w:rsidRPr="002C2985">
        <w:rPr>
          <w:rStyle w:val="FootnoteReference"/>
          <w:rFonts w:ascii="Times New Roman" w:hAnsi="Times New Roman" w:cs="Times New Roman"/>
        </w:rPr>
        <w:footnoteRef/>
      </w:r>
      <w:r w:rsidRPr="002C2985">
        <w:rPr>
          <w:rFonts w:ascii="Times New Roman" w:hAnsi="Times New Roman" w:cs="Times New Roman"/>
        </w:rPr>
        <w:t xml:space="preserve"> </w:t>
      </w:r>
      <w:r w:rsidRPr="002C2985">
        <w:rPr>
          <w:rFonts w:ascii="Times New Roman" w:hAnsi="Times New Roman" w:cs="Times New Roman"/>
          <w:smallCaps/>
        </w:rPr>
        <w:t>San Bonaventura</w:t>
      </w:r>
      <w:r w:rsidRPr="002C2985">
        <w:rPr>
          <w:rFonts w:ascii="Times New Roman" w:hAnsi="Times New Roman" w:cs="Times New Roman"/>
        </w:rPr>
        <w:t xml:space="preserve">, </w:t>
      </w:r>
      <w:r>
        <w:rPr>
          <w:rFonts w:ascii="Times New Roman" w:hAnsi="Times New Roman" w:cs="Times New Roman"/>
          <w:i/>
          <w:iCs/>
        </w:rPr>
        <w:t>Collazioni sui sette doni dello Spirito santo</w:t>
      </w:r>
      <w:r>
        <w:rPr>
          <w:rFonts w:ascii="Times New Roman" w:hAnsi="Times New Roman" w:cs="Times New Roman"/>
        </w:rPr>
        <w:t>, Sermoni teologici/2; (Opere di san Bonaventura VI/2), Roma, Città Nuova</w:t>
      </w:r>
      <w:r w:rsidRPr="00A113A1">
        <w:rPr>
          <w:rFonts w:ascii="Times New Roman" w:hAnsi="Times New Roman" w:cs="Times New Roman"/>
        </w:rPr>
        <w:t>, 1995, IV</w:t>
      </w:r>
      <w:r>
        <w:rPr>
          <w:rFonts w:ascii="Times New Roman" w:hAnsi="Times New Roman" w:cs="Times New Roman"/>
        </w:rPr>
        <w:t>, 15, 192-193.</w:t>
      </w:r>
    </w:p>
  </w:footnote>
  <w:footnote w:id="36">
    <w:p w:rsidR="009402B3" w:rsidRDefault="009402B3" w:rsidP="00DD6927">
      <w:pPr>
        <w:pStyle w:val="FootnoteText"/>
        <w:jc w:val="both"/>
      </w:pPr>
      <w:r w:rsidRPr="002C2985">
        <w:rPr>
          <w:rStyle w:val="FootnoteReference"/>
          <w:rFonts w:ascii="Times New Roman" w:hAnsi="Times New Roman" w:cs="Times New Roman"/>
        </w:rPr>
        <w:footnoteRef/>
      </w:r>
      <w:r w:rsidRPr="002C2985">
        <w:rPr>
          <w:rFonts w:ascii="Times New Roman" w:hAnsi="Times New Roman" w:cs="Times New Roman"/>
        </w:rPr>
        <w:t xml:space="preserve"> </w:t>
      </w:r>
      <w:r>
        <w:rPr>
          <w:rFonts w:ascii="Times New Roman" w:hAnsi="Times New Roman" w:cs="Times New Roman"/>
        </w:rPr>
        <w:t xml:space="preserve">«Operata est consilio manuum suarum». Ai tre gradi del consiglio, dono che si riferisce a ciò che è lecito, a ciò che è conveniente e a ciò che giova, sono fatti corrispondere i tre modi di intelligenza della Scrittura. </w:t>
      </w:r>
    </w:p>
  </w:footnote>
  <w:footnote w:id="37">
    <w:p w:rsidR="009402B3" w:rsidRDefault="009402B3" w:rsidP="00583F94">
      <w:pPr>
        <w:pStyle w:val="FootnoteText"/>
        <w:jc w:val="both"/>
      </w:pPr>
      <w:r w:rsidRPr="00583F94">
        <w:rPr>
          <w:rStyle w:val="FootnoteReference"/>
          <w:rFonts w:ascii="Times New Roman" w:hAnsi="Times New Roman" w:cs="Times New Roman"/>
        </w:rPr>
        <w:footnoteRef/>
      </w:r>
      <w:r w:rsidRPr="00583F94">
        <w:rPr>
          <w:rFonts w:ascii="Times New Roman" w:hAnsi="Times New Roman" w:cs="Times New Roman"/>
        </w:rPr>
        <w:t xml:space="preserve"> Bonaventura non poté concludere il ci</w:t>
      </w:r>
      <w:r>
        <w:rPr>
          <w:rFonts w:ascii="Times New Roman" w:hAnsi="Times New Roman" w:cs="Times New Roman"/>
        </w:rPr>
        <w:t>c</w:t>
      </w:r>
      <w:r w:rsidRPr="00583F94">
        <w:rPr>
          <w:rFonts w:ascii="Times New Roman" w:hAnsi="Times New Roman" w:cs="Times New Roman"/>
        </w:rPr>
        <w:t>lo della predicazione, che venne interrotto l’anno prima della morte.</w:t>
      </w:r>
    </w:p>
  </w:footnote>
  <w:footnote w:id="38">
    <w:p w:rsidR="009402B3" w:rsidRDefault="009402B3" w:rsidP="00EA4673">
      <w:pPr>
        <w:pStyle w:val="FootnoteText"/>
        <w:jc w:val="both"/>
      </w:pPr>
      <w:r w:rsidRPr="00EA4673">
        <w:rPr>
          <w:rStyle w:val="FootnoteReference"/>
          <w:rFonts w:ascii="Times New Roman" w:hAnsi="Times New Roman" w:cs="Times New Roman"/>
        </w:rPr>
        <w:footnoteRef/>
      </w:r>
      <w:r w:rsidRPr="00EA4673">
        <w:rPr>
          <w:rFonts w:ascii="Times New Roman" w:hAnsi="Times New Roman" w:cs="Times New Roman"/>
        </w:rPr>
        <w:t xml:space="preserve"> </w:t>
      </w:r>
      <w:r w:rsidRPr="00EA4673">
        <w:rPr>
          <w:rFonts w:ascii="Times New Roman" w:hAnsi="Times New Roman" w:cs="Times New Roman"/>
          <w:smallCaps/>
        </w:rPr>
        <w:t>Chiara Alba Mastrorilli</w:t>
      </w:r>
      <w:r w:rsidRPr="00EA4673">
        <w:rPr>
          <w:rFonts w:ascii="Times New Roman" w:hAnsi="Times New Roman" w:cs="Times New Roman"/>
        </w:rPr>
        <w:t xml:space="preserve">, </w:t>
      </w:r>
      <w:r w:rsidRPr="00EA4673">
        <w:rPr>
          <w:rFonts w:ascii="Times New Roman" w:hAnsi="Times New Roman" w:cs="Times New Roman"/>
          <w:i/>
          <w:iCs/>
        </w:rPr>
        <w:t>Sentieri di luce</w:t>
      </w:r>
      <w:r>
        <w:rPr>
          <w:rFonts w:ascii="Times New Roman" w:hAnsi="Times New Roman" w:cs="Times New Roman"/>
          <w:i/>
          <w:iCs/>
        </w:rPr>
        <w:t xml:space="preserve">. Il giardino della Scrittura nelle </w:t>
      </w:r>
      <w:r w:rsidRPr="00B02242">
        <w:rPr>
          <w:rFonts w:ascii="Times New Roman" w:hAnsi="Times New Roman" w:cs="Times New Roman"/>
        </w:rPr>
        <w:t>Collationes in Hexaëmeron</w:t>
      </w:r>
      <w:r>
        <w:rPr>
          <w:rFonts w:ascii="Times New Roman" w:hAnsi="Times New Roman" w:cs="Times New Roman"/>
          <w:i/>
          <w:iCs/>
        </w:rPr>
        <w:t xml:space="preserve"> di san Bonaventura,</w:t>
      </w:r>
      <w:r>
        <w:rPr>
          <w:rFonts w:ascii="Times New Roman" w:hAnsi="Times New Roman" w:cs="Times New Roman"/>
        </w:rPr>
        <w:t xml:space="preserve"> </w:t>
      </w:r>
      <w:r w:rsidRPr="00833BD5">
        <w:rPr>
          <w:rFonts w:ascii="Times New Roman" w:hAnsi="Times New Roman" w:cs="Times New Roman"/>
        </w:rPr>
        <w:t xml:space="preserve">Lanciano (Ch), Carabba, in corso di stampa, cf. cap. </w:t>
      </w:r>
      <w:r w:rsidRPr="00833BD5">
        <w:rPr>
          <w:rFonts w:ascii="Times New Roman" w:hAnsi="Times New Roman" w:cs="Times New Roman"/>
          <w:lang w:val="en-US"/>
        </w:rPr>
        <w:t>XI.</w:t>
      </w:r>
    </w:p>
  </w:footnote>
  <w:footnote w:id="39">
    <w:p w:rsidR="009402B3" w:rsidRDefault="009402B3">
      <w:pPr>
        <w:pStyle w:val="FootnoteText"/>
      </w:pPr>
      <w:r w:rsidRPr="00DC4BFC">
        <w:rPr>
          <w:rStyle w:val="FootnoteReference"/>
          <w:rFonts w:ascii="Times New Roman" w:hAnsi="Times New Roman" w:cs="Times New Roman"/>
        </w:rPr>
        <w:footnoteRef/>
      </w:r>
      <w:r w:rsidRPr="00BE1DE6">
        <w:rPr>
          <w:rFonts w:ascii="Times New Roman" w:hAnsi="Times New Roman" w:cs="Times New Roman"/>
          <w:lang w:val="en-US"/>
        </w:rPr>
        <w:t xml:space="preserve"> </w:t>
      </w:r>
      <w:r w:rsidRPr="00BE1DE6">
        <w:rPr>
          <w:rFonts w:ascii="Times New Roman" w:hAnsi="Times New Roman" w:cs="Times New Roman"/>
          <w:i/>
          <w:iCs/>
          <w:lang w:val="en-US"/>
        </w:rPr>
        <w:t>Ivi</w:t>
      </w:r>
      <w:r w:rsidRPr="00BE1DE6">
        <w:rPr>
          <w:rFonts w:ascii="Times New Roman" w:hAnsi="Times New Roman" w:cs="Times New Roman"/>
          <w:lang w:val="en-US"/>
        </w:rPr>
        <w:t>, n. 10, 248: «Deus autem causa est animarum et vocum formatarum ab anima et rerum, quarum sunt voces».</w:t>
      </w:r>
    </w:p>
  </w:footnote>
  <w:footnote w:id="40">
    <w:p w:rsidR="009402B3" w:rsidRDefault="009402B3" w:rsidP="006E5463">
      <w:pPr>
        <w:pStyle w:val="FootnoteText"/>
        <w:jc w:val="both"/>
      </w:pPr>
      <w:r w:rsidRPr="006E5463">
        <w:rPr>
          <w:rStyle w:val="FootnoteReference"/>
          <w:rFonts w:ascii="Times New Roman" w:hAnsi="Times New Roman" w:cs="Times New Roman"/>
        </w:rPr>
        <w:footnoteRef/>
      </w:r>
      <w:r w:rsidRPr="006E5463">
        <w:rPr>
          <w:rFonts w:ascii="Times New Roman" w:hAnsi="Times New Roman" w:cs="Times New Roman"/>
          <w:lang w:val="en-US"/>
        </w:rPr>
        <w:t xml:space="preserve"> «Ideo primus sensus litteralis; deinde, quia res signifcant, sunt tres sensus. </w:t>
      </w:r>
      <w:r>
        <w:rPr>
          <w:rFonts w:ascii="Times New Roman" w:hAnsi="Times New Roman" w:cs="Times New Roman"/>
          <w:lang w:val="en-US"/>
        </w:rPr>
        <w:t xml:space="preserve">Deus enim manifestat se in qualibet creatura tripliciter; secundum substantiam, vurtutem et operationem. </w:t>
      </w:r>
      <w:r w:rsidRPr="00D77BB1">
        <w:rPr>
          <w:rFonts w:ascii="Times New Roman" w:hAnsi="Times New Roman" w:cs="Times New Roman"/>
          <w:lang w:val="en-US"/>
        </w:rPr>
        <w:t xml:space="preserve">Et omnis creatura repraesentat Deum, qui est Trinitas, et qualiter pervenitur ad Deum; ideo omnis creatura insinuat, quid credendum, quid expectandum, quid operandum. </w:t>
      </w:r>
      <w:r w:rsidRPr="00D77BB1">
        <w:rPr>
          <w:rFonts w:ascii="Times New Roman" w:hAnsi="Times New Roman" w:cs="Times New Roman"/>
        </w:rPr>
        <w:t>Et secundum hoc est triplex intelligentia spiritualis: allegoria, quid credendum; anagogia, quid expectandum</w:t>
      </w:r>
      <w:r>
        <w:rPr>
          <w:rFonts w:ascii="Times New Roman" w:hAnsi="Times New Roman" w:cs="Times New Roman"/>
        </w:rPr>
        <w:t>;</w:t>
      </w:r>
      <w:r w:rsidRPr="00D77BB1">
        <w:rPr>
          <w:rFonts w:ascii="Times New Roman" w:hAnsi="Times New Roman" w:cs="Times New Roman"/>
        </w:rPr>
        <w:t xml:space="preserve"> tropologia</w:t>
      </w:r>
      <w:r>
        <w:rPr>
          <w:rFonts w:ascii="Times New Roman" w:hAnsi="Times New Roman" w:cs="Times New Roman"/>
        </w:rPr>
        <w:t xml:space="preserve">, quid operandum, quia caritas facit operari. Intelligentia litteralis est quasi facies naturalis, scilicet hominis; aliae sunt faciae mysticae: per leonem, qui habet magnificentiam, allegoria, sive quid credendum; per faciem bovis, qui trahit aratrum et sulcat terram ad fructificandum, tropologia sive moralis; per aquilam, quae in alto volat, anagogia. Prima facies, scilicet litteralis, aperta est¸secunda, magnificentia alte elevate; tertia, tropologia est fructuosa; quarta, quasi irreverberatis oculis solem intuetur. Hae quatuor sunt quasi visio maris propter spiritualium intelligentiarum primitivam originationem, profundissimam altitudinem et profluentissimam multifurmitatem. Unde sicut sunt tres personae in una essentia, sic tres intelligentiae in una superficie litterae». </w:t>
      </w:r>
      <w:r w:rsidRPr="00DC4BFC">
        <w:rPr>
          <w:rFonts w:ascii="Times New Roman" w:hAnsi="Times New Roman" w:cs="Times New Roman"/>
          <w:i/>
          <w:iCs/>
        </w:rPr>
        <w:t>Ivi</w:t>
      </w:r>
      <w:r>
        <w:rPr>
          <w:rFonts w:ascii="Times New Roman" w:hAnsi="Times New Roman" w:cs="Times New Roman"/>
        </w:rPr>
        <w:t>, n. 11, 248.</w:t>
      </w:r>
    </w:p>
  </w:footnote>
  <w:footnote w:id="41">
    <w:p w:rsidR="009402B3" w:rsidRDefault="009402B3">
      <w:pPr>
        <w:pStyle w:val="FootnoteText"/>
      </w:pPr>
      <w:r w:rsidRPr="00B25C09">
        <w:rPr>
          <w:rStyle w:val="FootnoteReference"/>
          <w:rFonts w:ascii="Times New Roman" w:hAnsi="Times New Roman" w:cs="Times New Roman"/>
        </w:rPr>
        <w:footnoteRef/>
      </w:r>
      <w:r w:rsidRPr="00B25C09">
        <w:rPr>
          <w:rFonts w:ascii="Times New Roman" w:hAnsi="Times New Roman" w:cs="Times New Roman"/>
        </w:rPr>
        <w:t xml:space="preserve"> Cf. anche:</w:t>
      </w:r>
      <w:r w:rsidRPr="00B25C09">
        <w:rPr>
          <w:rFonts w:ascii="Times New Roman" w:hAnsi="Times New Roman" w:cs="Times New Roman"/>
          <w:smallCaps/>
        </w:rPr>
        <w:t xml:space="preserve"> </w:t>
      </w:r>
      <w:r w:rsidRPr="00AB4AA0">
        <w:rPr>
          <w:rFonts w:ascii="Times New Roman" w:hAnsi="Times New Roman" w:cs="Times New Roman"/>
          <w:smallCaps/>
        </w:rPr>
        <w:t>Chiara Alba Mastrorilli</w:t>
      </w:r>
      <w:r>
        <w:rPr>
          <w:rFonts w:ascii="Times New Roman" w:hAnsi="Times New Roman" w:cs="Times New Roman"/>
        </w:rPr>
        <w:t xml:space="preserve">, </w:t>
      </w:r>
      <w:r w:rsidRPr="00B25C09">
        <w:rPr>
          <w:rFonts w:ascii="Times New Roman" w:hAnsi="Times New Roman" w:cs="Times New Roman"/>
          <w:i/>
          <w:iCs/>
        </w:rPr>
        <w:t>Quin</w:t>
      </w:r>
      <w:r>
        <w:rPr>
          <w:rFonts w:ascii="Times New Roman" w:hAnsi="Times New Roman" w:cs="Times New Roman"/>
          <w:i/>
          <w:iCs/>
        </w:rPr>
        <w:t>c</w:t>
      </w:r>
      <w:r w:rsidRPr="00B25C09">
        <w:rPr>
          <w:rFonts w:ascii="Times New Roman" w:hAnsi="Times New Roman" w:cs="Times New Roman"/>
          <w:i/>
          <w:iCs/>
        </w:rPr>
        <w:t>i rivolse inver’ lo cielo il viso</w:t>
      </w:r>
      <w:r>
        <w:rPr>
          <w:rFonts w:ascii="Times New Roman" w:hAnsi="Times New Roman" w:cs="Times New Roman"/>
        </w:rPr>
        <w:t xml:space="preserve">, </w:t>
      </w:r>
      <w:r w:rsidRPr="00B02242">
        <w:rPr>
          <w:rFonts w:ascii="Times New Roman" w:hAnsi="Times New Roman" w:cs="Times New Roman"/>
        </w:rPr>
        <w:t>op. cit.</w:t>
      </w:r>
      <w:r>
        <w:rPr>
          <w:rFonts w:ascii="Times New Roman" w:hAnsi="Times New Roman" w:cs="Times New Roman"/>
        </w:rPr>
        <w:t xml:space="preserve"> </w:t>
      </w:r>
    </w:p>
  </w:footnote>
  <w:footnote w:id="42">
    <w:p w:rsidR="009402B3" w:rsidRDefault="009402B3">
      <w:pPr>
        <w:pStyle w:val="FootnoteText"/>
      </w:pPr>
      <w:r w:rsidRPr="00FA568B">
        <w:rPr>
          <w:rStyle w:val="FootnoteReference"/>
          <w:rFonts w:ascii="Times New Roman" w:hAnsi="Times New Roman" w:cs="Times New Roman"/>
        </w:rPr>
        <w:footnoteRef/>
      </w:r>
      <w:r w:rsidRPr="00FA568B">
        <w:rPr>
          <w:rFonts w:ascii="Times New Roman" w:hAnsi="Times New Roman" w:cs="Times New Roman"/>
        </w:rPr>
        <w:t xml:space="preserve"> </w:t>
      </w:r>
      <w:r>
        <w:rPr>
          <w:rFonts w:ascii="Times New Roman" w:hAnsi="Times New Roman" w:cs="Times New Roman"/>
          <w:i/>
          <w:iCs/>
        </w:rPr>
        <w:t xml:space="preserve">Coll. </w:t>
      </w:r>
      <w:r w:rsidRPr="00947FA8">
        <w:rPr>
          <w:rFonts w:ascii="Times New Roman" w:hAnsi="Times New Roman" w:cs="Times New Roman"/>
        </w:rPr>
        <w:t>XIII,</w:t>
      </w:r>
      <w:r w:rsidRPr="00FA568B">
        <w:rPr>
          <w:rFonts w:ascii="Times New Roman" w:hAnsi="Times New Roman" w:cs="Times New Roman"/>
        </w:rPr>
        <w:t xml:space="preserve"> n. 17, 252.</w:t>
      </w:r>
    </w:p>
  </w:footnote>
  <w:footnote w:id="43">
    <w:p w:rsidR="009402B3" w:rsidRDefault="009402B3" w:rsidP="000320E6">
      <w:pPr>
        <w:pStyle w:val="FootnoteText"/>
        <w:jc w:val="both"/>
      </w:pPr>
      <w:r w:rsidRPr="000320E6">
        <w:rPr>
          <w:rStyle w:val="FootnoteReference"/>
          <w:rFonts w:ascii="Times New Roman" w:hAnsi="Times New Roman" w:cs="Times New Roman"/>
        </w:rPr>
        <w:footnoteRef/>
      </w:r>
      <w:r w:rsidRPr="000320E6">
        <w:rPr>
          <w:rFonts w:ascii="Times New Roman" w:hAnsi="Times New Roman" w:cs="Times New Roman"/>
        </w:rPr>
        <w:t xml:space="preserve"> Dove si parla dei dodici alberi</w:t>
      </w:r>
      <w:r>
        <w:rPr>
          <w:rFonts w:ascii="Times New Roman" w:hAnsi="Times New Roman" w:cs="Times New Roman"/>
        </w:rPr>
        <w:t xml:space="preserve"> del paradiso, ricchi di germogli, sono gli alberi di cui Bonaventura dice: </w:t>
      </w:r>
      <w:r>
        <w:rPr>
          <w:rFonts w:ascii="Times New Roman" w:hAnsi="Times New Roman" w:cs="Times New Roman"/>
          <w:i/>
          <w:iCs/>
        </w:rPr>
        <w:t>De his duodecim lignis volo aedificare et erigere tabernaculum in corde.</w:t>
      </w:r>
      <w:r>
        <w:rPr>
          <w:rFonts w:ascii="Times New Roman" w:hAnsi="Times New Roman" w:cs="Times New Roman"/>
        </w:rPr>
        <w:t xml:space="preserve"> </w:t>
      </w:r>
      <w:r w:rsidRPr="000320E6">
        <w:rPr>
          <w:rFonts w:ascii="Times New Roman" w:hAnsi="Times New Roman" w:cs="Times New Roman"/>
          <w:i/>
          <w:iCs/>
        </w:rPr>
        <w:t>Coll</w:t>
      </w:r>
      <w:r>
        <w:rPr>
          <w:rFonts w:ascii="Times New Roman" w:hAnsi="Times New Roman" w:cs="Times New Roman"/>
        </w:rPr>
        <w:t>. XIV, 17, 268.</w:t>
      </w:r>
    </w:p>
  </w:footnote>
  <w:footnote w:id="44">
    <w:p w:rsidR="009402B3" w:rsidRDefault="009402B3" w:rsidP="000320E6">
      <w:pPr>
        <w:pStyle w:val="FootnoteText"/>
        <w:jc w:val="both"/>
      </w:pPr>
      <w:r w:rsidRPr="000320E6">
        <w:rPr>
          <w:rStyle w:val="FootnoteReference"/>
          <w:rFonts w:ascii="Times New Roman" w:hAnsi="Times New Roman" w:cs="Times New Roman"/>
        </w:rPr>
        <w:footnoteRef/>
      </w:r>
      <w:r w:rsidRPr="000320E6">
        <w:rPr>
          <w:rFonts w:ascii="Times New Roman" w:hAnsi="Times New Roman" w:cs="Times New Roman"/>
        </w:rPr>
        <w:t xml:space="preserve"> </w:t>
      </w:r>
      <w:r w:rsidRPr="000320E6">
        <w:rPr>
          <w:rFonts w:ascii="Times New Roman" w:hAnsi="Times New Roman" w:cs="Times New Roman"/>
          <w:i/>
          <w:iCs/>
        </w:rPr>
        <w:t>Coll</w:t>
      </w:r>
      <w:r>
        <w:rPr>
          <w:rFonts w:ascii="Times New Roman" w:hAnsi="Times New Roman" w:cs="Times New Roman"/>
        </w:rPr>
        <w:t>. XX, 14, 368, nota 9</w:t>
      </w:r>
      <w:r w:rsidRPr="000320E6">
        <w:rPr>
          <w:rFonts w:ascii="Times New Roman" w:hAnsi="Times New Roman" w:cs="Times New Roman"/>
        </w:rPr>
        <w:t xml:space="preserve">. </w:t>
      </w:r>
      <w:r>
        <w:rPr>
          <w:rFonts w:ascii="Times New Roman" w:hAnsi="Times New Roman" w:cs="Times New Roman"/>
        </w:rPr>
        <w:t>[</w:t>
      </w:r>
      <w:r w:rsidRPr="00C33DDD">
        <w:rPr>
          <w:rFonts w:ascii="Times New Roman" w:hAnsi="Times New Roman" w:cs="Times New Roman"/>
          <w:i/>
          <w:iCs/>
          <w:color w:val="000000"/>
        </w:rPr>
        <w:t>Però questo principio originale di divina luce non ci é accessibile se non in quanto si vela sotto la varietà dei misteriosi simboli e, con amore e saggezza discende, per così dire, fino al livello della nostra natura</w:t>
      </w:r>
      <w:r>
        <w:rPr>
          <w:rFonts w:ascii="Times New Roman" w:hAnsi="Times New Roman" w:cs="Times New Roman"/>
          <w:color w:val="000000"/>
        </w:rPr>
        <w:t>]</w:t>
      </w:r>
      <w:r w:rsidRPr="000320E6">
        <w:rPr>
          <w:rFonts w:ascii="Times New Roman" w:hAnsi="Times New Roman" w:cs="Times New Roman"/>
          <w:color w:val="000000"/>
        </w:rPr>
        <w:t>.</w:t>
      </w:r>
    </w:p>
  </w:footnote>
  <w:footnote w:id="45">
    <w:p w:rsidR="009402B3" w:rsidRDefault="009402B3" w:rsidP="004D0BD4">
      <w:pPr>
        <w:pStyle w:val="FootnoteText"/>
        <w:jc w:val="both"/>
      </w:pPr>
      <w:r w:rsidRPr="00C33DDD">
        <w:rPr>
          <w:rStyle w:val="FootnoteReference"/>
          <w:rFonts w:ascii="Times New Roman" w:hAnsi="Times New Roman" w:cs="Times New Roman"/>
        </w:rPr>
        <w:footnoteRef/>
      </w:r>
      <w:r w:rsidRPr="00C33DDD">
        <w:rPr>
          <w:rFonts w:ascii="Times New Roman" w:hAnsi="Times New Roman" w:cs="Times New Roman"/>
        </w:rPr>
        <w:t xml:space="preserve"> </w:t>
      </w:r>
      <w:r w:rsidRPr="00C33DDD">
        <w:rPr>
          <w:rFonts w:ascii="Times New Roman" w:hAnsi="Times New Roman" w:cs="Times New Roman"/>
          <w:i/>
          <w:iCs/>
        </w:rPr>
        <w:t>Coll</w:t>
      </w:r>
      <w:r>
        <w:rPr>
          <w:rFonts w:ascii="Times New Roman" w:hAnsi="Times New Roman" w:cs="Times New Roman"/>
        </w:rPr>
        <w:t xml:space="preserve">. </w:t>
      </w:r>
      <w:r w:rsidRPr="004D0BD4">
        <w:rPr>
          <w:rFonts w:ascii="Times New Roman" w:hAnsi="Times New Roman" w:cs="Times New Roman"/>
        </w:rPr>
        <w:t xml:space="preserve">XX, 15, 370-371: «Et ideo figurae nondum explanatae sunt; sed quando luna erit plena, tunc erit apertio Scripturarum, et liber aperietur, et septem sigilla solventur, quae adhuc non sunt aperta. </w:t>
      </w:r>
      <w:r>
        <w:rPr>
          <w:rFonts w:ascii="Times New Roman" w:hAnsi="Times New Roman" w:cs="Times New Roman"/>
        </w:rPr>
        <w:t>Credete mihi, tunc videbimus quasi per plenilunium, quando leo tribu Iuda surget et aperiet librum, quando consummabuntur passiones Christi, quas modo corpus Christi patitur».</w:t>
      </w:r>
    </w:p>
  </w:footnote>
  <w:footnote w:id="46">
    <w:p w:rsidR="009402B3" w:rsidRDefault="009402B3">
      <w:pPr>
        <w:pStyle w:val="FootnoteText"/>
      </w:pPr>
      <w:r w:rsidRPr="00E11696">
        <w:rPr>
          <w:rStyle w:val="FootnoteReference"/>
          <w:rFonts w:ascii="Times New Roman" w:hAnsi="Times New Roman" w:cs="Times New Roman"/>
        </w:rPr>
        <w:footnoteRef/>
      </w:r>
      <w:r w:rsidRPr="00E11696">
        <w:rPr>
          <w:rFonts w:ascii="Times New Roman" w:hAnsi="Times New Roman" w:cs="Times New Roman"/>
        </w:rPr>
        <w:t xml:space="preserve"> </w:t>
      </w:r>
      <w:r w:rsidRPr="00E11696">
        <w:rPr>
          <w:rFonts w:ascii="Times New Roman" w:hAnsi="Times New Roman" w:cs="Times New Roman"/>
          <w:smallCaps/>
        </w:rPr>
        <w:t>Henri de Lubac</w:t>
      </w:r>
      <w:r>
        <w:rPr>
          <w:rFonts w:ascii="Times New Roman" w:hAnsi="Times New Roman" w:cs="Times New Roman"/>
        </w:rPr>
        <w:t xml:space="preserve">, </w:t>
      </w:r>
      <w:r>
        <w:rPr>
          <w:rFonts w:ascii="Times New Roman" w:hAnsi="Times New Roman" w:cs="Times New Roman"/>
          <w:i/>
          <w:iCs/>
        </w:rPr>
        <w:t xml:space="preserve">Esegesi medievale, </w:t>
      </w:r>
      <w:r w:rsidRPr="00B02242">
        <w:rPr>
          <w:rFonts w:ascii="Times New Roman" w:hAnsi="Times New Roman" w:cs="Times New Roman"/>
        </w:rPr>
        <w:t>op. cit</w:t>
      </w:r>
      <w:r>
        <w:rPr>
          <w:rFonts w:ascii="Times New Roman" w:hAnsi="Times New Roman" w:cs="Times New Roman"/>
          <w:i/>
          <w:iCs/>
        </w:rPr>
        <w:t xml:space="preserve">., </w:t>
      </w:r>
      <w:r w:rsidRPr="00E11696">
        <w:rPr>
          <w:rFonts w:ascii="Times New Roman" w:hAnsi="Times New Roman" w:cs="Times New Roman"/>
        </w:rPr>
        <w:t>IV, 328.</w:t>
      </w:r>
    </w:p>
  </w:footnote>
  <w:footnote w:id="47">
    <w:p w:rsidR="009402B3" w:rsidRDefault="009402B3">
      <w:pPr>
        <w:pStyle w:val="FootnoteText"/>
      </w:pPr>
      <w:r w:rsidRPr="00485282">
        <w:rPr>
          <w:rStyle w:val="FootnoteReference"/>
          <w:rFonts w:ascii="Times New Roman" w:hAnsi="Times New Roman" w:cs="Times New Roman"/>
        </w:rPr>
        <w:footnoteRef/>
      </w:r>
      <w:r w:rsidRPr="00485282">
        <w:rPr>
          <w:rFonts w:ascii="Times New Roman" w:hAnsi="Times New Roman" w:cs="Times New Roman"/>
        </w:rPr>
        <w:t xml:space="preserve"> </w:t>
      </w:r>
      <w:r w:rsidRPr="00485282">
        <w:rPr>
          <w:rFonts w:ascii="Times New Roman" w:hAnsi="Times New Roman" w:cs="Times New Roman"/>
          <w:i/>
          <w:iCs/>
        </w:rPr>
        <w:t>Colossesi</w:t>
      </w:r>
      <w:r w:rsidRPr="00485282">
        <w:rPr>
          <w:rFonts w:ascii="Times New Roman" w:hAnsi="Times New Roman" w:cs="Times New Roman"/>
        </w:rPr>
        <w:t xml:space="preserve"> 1,18 b.</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0A6A3A"/>
    <w:multiLevelType w:val="hybridMultilevel"/>
    <w:tmpl w:val="F2C4E3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371F5D92"/>
    <w:multiLevelType w:val="hybridMultilevel"/>
    <w:tmpl w:val="5700229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283"/>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72973"/>
    <w:rsid w:val="000050A5"/>
    <w:rsid w:val="000320E6"/>
    <w:rsid w:val="00067FE4"/>
    <w:rsid w:val="000A4DD7"/>
    <w:rsid w:val="000D3AEA"/>
    <w:rsid w:val="000E5DDD"/>
    <w:rsid w:val="0014114A"/>
    <w:rsid w:val="001572BB"/>
    <w:rsid w:val="0017659C"/>
    <w:rsid w:val="00181D0E"/>
    <w:rsid w:val="00190DCA"/>
    <w:rsid w:val="001925B6"/>
    <w:rsid w:val="00193035"/>
    <w:rsid w:val="00194ACC"/>
    <w:rsid w:val="001D158D"/>
    <w:rsid w:val="001D4DAC"/>
    <w:rsid w:val="00245DE7"/>
    <w:rsid w:val="00293AE9"/>
    <w:rsid w:val="002A0B91"/>
    <w:rsid w:val="002B11E4"/>
    <w:rsid w:val="002B490F"/>
    <w:rsid w:val="002C2985"/>
    <w:rsid w:val="00306EF1"/>
    <w:rsid w:val="003363A4"/>
    <w:rsid w:val="00342011"/>
    <w:rsid w:val="00350B5A"/>
    <w:rsid w:val="0037273E"/>
    <w:rsid w:val="003764A6"/>
    <w:rsid w:val="003E5E99"/>
    <w:rsid w:val="00425998"/>
    <w:rsid w:val="00440705"/>
    <w:rsid w:val="00440AA5"/>
    <w:rsid w:val="00485282"/>
    <w:rsid w:val="00496336"/>
    <w:rsid w:val="004D0BD4"/>
    <w:rsid w:val="00523495"/>
    <w:rsid w:val="00542FF9"/>
    <w:rsid w:val="00546677"/>
    <w:rsid w:val="00547526"/>
    <w:rsid w:val="00553430"/>
    <w:rsid w:val="00572973"/>
    <w:rsid w:val="005775F6"/>
    <w:rsid w:val="0058394B"/>
    <w:rsid w:val="00583F94"/>
    <w:rsid w:val="00593C58"/>
    <w:rsid w:val="005C1535"/>
    <w:rsid w:val="005D7C3B"/>
    <w:rsid w:val="005E5EDC"/>
    <w:rsid w:val="006047F4"/>
    <w:rsid w:val="006E5463"/>
    <w:rsid w:val="006F0D28"/>
    <w:rsid w:val="00710A0A"/>
    <w:rsid w:val="00752E98"/>
    <w:rsid w:val="00780DC7"/>
    <w:rsid w:val="007C1A73"/>
    <w:rsid w:val="007C5193"/>
    <w:rsid w:val="00827B9B"/>
    <w:rsid w:val="00833BD5"/>
    <w:rsid w:val="008431CE"/>
    <w:rsid w:val="008C28DD"/>
    <w:rsid w:val="008F431D"/>
    <w:rsid w:val="00926E4E"/>
    <w:rsid w:val="009402B3"/>
    <w:rsid w:val="00945438"/>
    <w:rsid w:val="00947FA8"/>
    <w:rsid w:val="00963C9F"/>
    <w:rsid w:val="0098608A"/>
    <w:rsid w:val="00990877"/>
    <w:rsid w:val="00997EF7"/>
    <w:rsid w:val="009C0A91"/>
    <w:rsid w:val="009D3D94"/>
    <w:rsid w:val="009F4189"/>
    <w:rsid w:val="00A078B7"/>
    <w:rsid w:val="00A113A1"/>
    <w:rsid w:val="00A37B92"/>
    <w:rsid w:val="00A8427C"/>
    <w:rsid w:val="00A971BE"/>
    <w:rsid w:val="00AB4AA0"/>
    <w:rsid w:val="00AC0FAE"/>
    <w:rsid w:val="00AF380D"/>
    <w:rsid w:val="00AF4360"/>
    <w:rsid w:val="00B02242"/>
    <w:rsid w:val="00B25C09"/>
    <w:rsid w:val="00B33156"/>
    <w:rsid w:val="00B45B0A"/>
    <w:rsid w:val="00B55E8B"/>
    <w:rsid w:val="00B728BC"/>
    <w:rsid w:val="00B76DDE"/>
    <w:rsid w:val="00B92238"/>
    <w:rsid w:val="00BA6C77"/>
    <w:rsid w:val="00BE1DE6"/>
    <w:rsid w:val="00C00653"/>
    <w:rsid w:val="00C13B38"/>
    <w:rsid w:val="00C33DDD"/>
    <w:rsid w:val="00C5205A"/>
    <w:rsid w:val="00CD70A9"/>
    <w:rsid w:val="00D6193F"/>
    <w:rsid w:val="00D77BB1"/>
    <w:rsid w:val="00DB2932"/>
    <w:rsid w:val="00DB2DD3"/>
    <w:rsid w:val="00DB3DA0"/>
    <w:rsid w:val="00DC4BFC"/>
    <w:rsid w:val="00DD2B55"/>
    <w:rsid w:val="00DD575E"/>
    <w:rsid w:val="00DD6927"/>
    <w:rsid w:val="00DE2104"/>
    <w:rsid w:val="00DE2231"/>
    <w:rsid w:val="00E0582D"/>
    <w:rsid w:val="00E11696"/>
    <w:rsid w:val="00E150F2"/>
    <w:rsid w:val="00E253BC"/>
    <w:rsid w:val="00E442E2"/>
    <w:rsid w:val="00E76AFA"/>
    <w:rsid w:val="00E80443"/>
    <w:rsid w:val="00EA4673"/>
    <w:rsid w:val="00EB0468"/>
    <w:rsid w:val="00EE6592"/>
    <w:rsid w:val="00F0197A"/>
    <w:rsid w:val="00F22B36"/>
    <w:rsid w:val="00F60700"/>
    <w:rsid w:val="00FA568B"/>
    <w:rsid w:val="00FD1032"/>
    <w:rsid w:val="00FE3783"/>
    <w:rsid w:val="00FE3FBD"/>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footnote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7F4"/>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546677"/>
    <w:pPr>
      <w:spacing w:after="0" w:line="240" w:lineRule="auto"/>
    </w:pPr>
    <w:rPr>
      <w:sz w:val="20"/>
      <w:szCs w:val="20"/>
    </w:rPr>
  </w:style>
  <w:style w:type="character" w:customStyle="1" w:styleId="FootnoteTextChar">
    <w:name w:val="Footnote Text Char"/>
    <w:basedOn w:val="DefaultParagraphFont"/>
    <w:link w:val="FootnoteText"/>
    <w:uiPriority w:val="99"/>
    <w:rsid w:val="00546677"/>
    <w:rPr>
      <w:sz w:val="20"/>
      <w:szCs w:val="20"/>
    </w:rPr>
  </w:style>
  <w:style w:type="character" w:styleId="FootnoteReference">
    <w:name w:val="footnote reference"/>
    <w:basedOn w:val="DefaultParagraphFont"/>
    <w:uiPriority w:val="99"/>
    <w:semiHidden/>
    <w:rsid w:val="00546677"/>
    <w:rPr>
      <w:vertAlign w:val="superscript"/>
    </w:rPr>
  </w:style>
  <w:style w:type="paragraph" w:styleId="Header">
    <w:name w:val="header"/>
    <w:basedOn w:val="Normal"/>
    <w:link w:val="HeaderChar"/>
    <w:uiPriority w:val="99"/>
    <w:rsid w:val="00D6193F"/>
    <w:pPr>
      <w:tabs>
        <w:tab w:val="center" w:pos="4819"/>
        <w:tab w:val="right" w:pos="9638"/>
      </w:tabs>
      <w:spacing w:after="0" w:line="240" w:lineRule="auto"/>
    </w:pPr>
  </w:style>
  <w:style w:type="character" w:customStyle="1" w:styleId="HeaderChar">
    <w:name w:val="Header Char"/>
    <w:basedOn w:val="DefaultParagraphFont"/>
    <w:link w:val="Header"/>
    <w:uiPriority w:val="99"/>
    <w:rsid w:val="00D6193F"/>
  </w:style>
  <w:style w:type="paragraph" w:styleId="Footer">
    <w:name w:val="footer"/>
    <w:basedOn w:val="Normal"/>
    <w:link w:val="FooterChar"/>
    <w:uiPriority w:val="99"/>
    <w:rsid w:val="00D6193F"/>
    <w:pPr>
      <w:tabs>
        <w:tab w:val="center" w:pos="4819"/>
        <w:tab w:val="right" w:pos="9638"/>
      </w:tabs>
      <w:spacing w:after="0" w:line="240" w:lineRule="auto"/>
    </w:pPr>
  </w:style>
  <w:style w:type="character" w:customStyle="1" w:styleId="FooterChar">
    <w:name w:val="Footer Char"/>
    <w:basedOn w:val="DefaultParagraphFont"/>
    <w:link w:val="Footer"/>
    <w:uiPriority w:val="99"/>
    <w:rsid w:val="00D6193F"/>
  </w:style>
  <w:style w:type="paragraph" w:styleId="BalloonText">
    <w:name w:val="Balloon Text"/>
    <w:basedOn w:val="Normal"/>
    <w:link w:val="BalloonTextChar"/>
    <w:uiPriority w:val="99"/>
    <w:semiHidden/>
    <w:rsid w:val="00B55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E8B"/>
    <w:rPr>
      <w:rFonts w:ascii="Tahoma" w:hAnsi="Tahoma" w:cs="Tahoma"/>
      <w:sz w:val="16"/>
      <w:szCs w:val="16"/>
    </w:rPr>
  </w:style>
  <w:style w:type="paragraph" w:styleId="ListParagraph">
    <w:name w:val="List Paragraph"/>
    <w:basedOn w:val="Normal"/>
    <w:uiPriority w:val="99"/>
    <w:qFormat/>
    <w:rsid w:val="00AF380D"/>
    <w:pPr>
      <w:ind w:left="720"/>
      <w:contextualSpacing/>
    </w:pPr>
  </w:style>
  <w:style w:type="character" w:styleId="Hyperlink">
    <w:name w:val="Hyperlink"/>
    <w:basedOn w:val="DefaultParagraphFont"/>
    <w:uiPriority w:val="99"/>
    <w:rsid w:val="00FE3FBD"/>
    <w:rPr>
      <w:color w:val="0000FF"/>
      <w:u w:val="single"/>
    </w:rPr>
  </w:style>
  <w:style w:type="table" w:styleId="TableGrid">
    <w:name w:val="Table Grid"/>
    <w:basedOn w:val="TableNormal"/>
    <w:uiPriority w:val="99"/>
    <w:rsid w:val="00245DE7"/>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22</Pages>
  <Words>5713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Quo tendas anagogia</dc:title>
  <dc:subject/>
  <dc:creator>Monastero SantaChiara</dc:creator>
  <cp:keywords/>
  <dc:description/>
  <cp:lastModifiedBy>Gi</cp:lastModifiedBy>
  <cp:revision>2</cp:revision>
  <cp:lastPrinted>2016-10-10T07:08:00Z</cp:lastPrinted>
  <dcterms:created xsi:type="dcterms:W3CDTF">2023-02-17T13:43:00Z</dcterms:created>
  <dcterms:modified xsi:type="dcterms:W3CDTF">2023-02-17T13:43:00Z</dcterms:modified>
</cp:coreProperties>
</file>